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CB" w:rsidRPr="00560654" w:rsidRDefault="00604ACB" w:rsidP="00CB05CD">
      <w:pPr>
        <w:pStyle w:val="a3"/>
        <w:rPr>
          <w:rFonts w:hAnsi="宋体" w:cs="宋体"/>
        </w:rPr>
      </w:pPr>
    </w:p>
    <w:p w:rsidR="00604ACB" w:rsidRPr="00560654" w:rsidRDefault="00604ACB" w:rsidP="00CB05CD">
      <w:pPr>
        <w:pStyle w:val="a3"/>
        <w:rPr>
          <w:rFonts w:hAnsi="宋体" w:cs="宋体"/>
        </w:rPr>
      </w:pPr>
    </w:p>
    <w:p w:rsidR="00CB05CD" w:rsidRPr="004745A3" w:rsidRDefault="00CB05CD" w:rsidP="00CB05CD">
      <w:pPr>
        <w:pStyle w:val="a3"/>
        <w:rPr>
          <w:rFonts w:ascii="仿宋_GB2312" w:eastAsia="仿宋_GB2312" w:hAnsi="宋体" w:cs="宋体"/>
          <w:sz w:val="30"/>
          <w:szCs w:val="30"/>
        </w:rPr>
      </w:pPr>
    </w:p>
    <w:p w:rsidR="006E1FF4" w:rsidRDefault="006E1FF4" w:rsidP="006E1FF4">
      <w:pPr>
        <w:pStyle w:val="a3"/>
        <w:spacing w:line="520" w:lineRule="exact"/>
        <w:rPr>
          <w:rFonts w:ascii="仿宋_GB2312" w:eastAsia="仿宋_GB2312" w:hAnsi="宋体" w:cs="宋体"/>
          <w:sz w:val="30"/>
          <w:szCs w:val="30"/>
        </w:rPr>
      </w:pPr>
    </w:p>
    <w:p w:rsidR="006E1FF4" w:rsidRDefault="006E1FF4" w:rsidP="006E1FF4">
      <w:pPr>
        <w:pStyle w:val="a3"/>
        <w:spacing w:line="520" w:lineRule="exact"/>
        <w:rPr>
          <w:rFonts w:ascii="仿宋_GB2312" w:eastAsia="仿宋_GB2312" w:hAnsi="宋体" w:cs="宋体"/>
          <w:sz w:val="30"/>
          <w:szCs w:val="30"/>
        </w:rPr>
      </w:pPr>
    </w:p>
    <w:p w:rsidR="006E1FF4" w:rsidRDefault="006E1FF4" w:rsidP="006E1FF4">
      <w:pPr>
        <w:pStyle w:val="a3"/>
        <w:spacing w:line="520" w:lineRule="exact"/>
        <w:rPr>
          <w:rFonts w:ascii="仿宋_GB2312" w:eastAsia="仿宋_GB2312" w:hAnsi="宋体" w:cs="宋体"/>
          <w:sz w:val="30"/>
          <w:szCs w:val="30"/>
        </w:rPr>
      </w:pPr>
    </w:p>
    <w:p w:rsidR="006E1FF4" w:rsidRPr="00823C1E" w:rsidRDefault="006E1FF4" w:rsidP="006E1FF4">
      <w:pPr>
        <w:pStyle w:val="a3"/>
        <w:spacing w:line="520" w:lineRule="exact"/>
        <w:rPr>
          <w:rFonts w:ascii="仿宋_GB2312" w:eastAsia="仿宋_GB2312" w:hAnsi="宋体" w:cs="宋体"/>
          <w:sz w:val="30"/>
          <w:szCs w:val="30"/>
        </w:rPr>
      </w:pPr>
    </w:p>
    <w:p w:rsidR="005B4F92" w:rsidRPr="00F51F0A" w:rsidRDefault="00F3147A" w:rsidP="005B4F92">
      <w:pPr>
        <w:pStyle w:val="a3"/>
        <w:spacing w:line="520" w:lineRule="exact"/>
        <w:rPr>
          <w:rFonts w:ascii="仿宋_GB2312" w:eastAsia="仿宋_GB2312" w:hAnsi="宋体" w:cs="宋体"/>
          <w:sz w:val="30"/>
          <w:szCs w:val="30"/>
        </w:rPr>
      </w:pPr>
      <w:r w:rsidRPr="00823C1E">
        <w:rPr>
          <w:rFonts w:ascii="仿宋_GB2312" w:eastAsia="仿宋_GB2312" w:hAnsi="宋体" w:cs="宋体" w:hint="eastAsia"/>
          <w:sz w:val="30"/>
          <w:szCs w:val="30"/>
        </w:rPr>
        <w:t xml:space="preserve">　</w:t>
      </w:r>
      <w:r w:rsidR="00AA164E" w:rsidRPr="00823C1E"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:rsidR="00744556" w:rsidRPr="00744556" w:rsidRDefault="005B4F92" w:rsidP="005B4F92">
      <w:pPr>
        <w:pStyle w:val="a3"/>
        <w:rPr>
          <w:rFonts w:ascii="仿宋_GB2312" w:eastAsia="仿宋_GB2312" w:hAnsi="宋体" w:cs="宋体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《最高人民法院、最高人民检察院关于办理组织、强迫、引诱、容留、介绍卖淫刑事案件适用法律若干问题的解释》已于2017年5月8日由最高人民法院审判委员会第1716次会议、2017年7月4日由最高人民检察院第十二届检察委员会第66次会议通过，现予公布，自2017年7月25日起施行。</w:t>
      </w:r>
    </w:p>
    <w:p w:rsidR="00744556" w:rsidRPr="00744556" w:rsidRDefault="00744556" w:rsidP="00744556">
      <w:pPr>
        <w:pStyle w:val="a3"/>
        <w:spacing w:line="520" w:lineRule="exact"/>
        <w:rPr>
          <w:rFonts w:ascii="仿宋_GB2312" w:eastAsia="仿宋_GB2312" w:hAnsi="宋体" w:cs="宋体"/>
          <w:sz w:val="30"/>
          <w:szCs w:val="30"/>
        </w:rPr>
      </w:pPr>
    </w:p>
    <w:p w:rsidR="00744556" w:rsidRDefault="00744556" w:rsidP="00744556">
      <w:pPr>
        <w:pStyle w:val="a3"/>
        <w:spacing w:line="520" w:lineRule="exact"/>
        <w:rPr>
          <w:rFonts w:ascii="仿宋_GB2312" w:eastAsia="仿宋_GB2312" w:hAnsi="宋体" w:cs="宋体" w:hint="eastAsia"/>
          <w:sz w:val="30"/>
          <w:szCs w:val="30"/>
        </w:rPr>
      </w:pPr>
    </w:p>
    <w:p w:rsidR="005B4F92" w:rsidRDefault="005B4F92" w:rsidP="00744556">
      <w:pPr>
        <w:pStyle w:val="a3"/>
        <w:spacing w:line="520" w:lineRule="exact"/>
        <w:rPr>
          <w:rFonts w:ascii="仿宋_GB2312" w:eastAsia="仿宋_GB2312" w:hAnsi="宋体" w:cs="宋体" w:hint="eastAsia"/>
          <w:sz w:val="30"/>
          <w:szCs w:val="30"/>
        </w:rPr>
      </w:pPr>
    </w:p>
    <w:p w:rsidR="005B4F92" w:rsidRPr="00744556" w:rsidRDefault="005B4F92" w:rsidP="00744556">
      <w:pPr>
        <w:pStyle w:val="a3"/>
        <w:spacing w:line="520" w:lineRule="exact"/>
        <w:rPr>
          <w:rFonts w:ascii="仿宋_GB2312" w:eastAsia="仿宋_GB2312" w:hAnsi="宋体" w:cs="宋体"/>
          <w:sz w:val="30"/>
          <w:szCs w:val="30"/>
        </w:rPr>
      </w:pPr>
    </w:p>
    <w:p w:rsidR="00744556" w:rsidRPr="00744556" w:rsidRDefault="00744556" w:rsidP="00744556">
      <w:pPr>
        <w:pStyle w:val="a3"/>
        <w:spacing w:line="520" w:lineRule="exact"/>
        <w:jc w:val="center"/>
        <w:rPr>
          <w:rFonts w:ascii="仿宋_GB2312" w:eastAsia="仿宋_GB2312" w:hAnsi="宋体" w:cs="宋体"/>
          <w:sz w:val="30"/>
          <w:szCs w:val="30"/>
        </w:rPr>
      </w:pPr>
      <w:r w:rsidRPr="00744556">
        <w:rPr>
          <w:rFonts w:ascii="仿宋_GB2312" w:eastAsia="仿宋_GB2312" w:hAnsi="宋体" w:cs="宋体" w:hint="eastAsia"/>
          <w:sz w:val="30"/>
          <w:szCs w:val="30"/>
        </w:rPr>
        <w:t>最高人民法院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                       </w:t>
      </w:r>
      <w:r w:rsidRPr="00744556">
        <w:rPr>
          <w:rFonts w:ascii="仿宋_GB2312" w:eastAsia="仿宋_GB2312" w:hAnsi="宋体" w:cs="宋体" w:hint="eastAsia"/>
          <w:sz w:val="30"/>
          <w:szCs w:val="30"/>
        </w:rPr>
        <w:t>最高人民检察院</w:t>
      </w:r>
    </w:p>
    <w:p w:rsidR="00D22601" w:rsidRPr="00D22601" w:rsidRDefault="00744556" w:rsidP="00744556">
      <w:pPr>
        <w:pStyle w:val="a3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                                       </w:t>
      </w:r>
      <w:r w:rsidRPr="00744556">
        <w:rPr>
          <w:rFonts w:ascii="仿宋_GB2312" w:eastAsia="仿宋_GB2312" w:hAnsi="宋体" w:cs="宋体" w:hint="eastAsia"/>
          <w:sz w:val="30"/>
          <w:szCs w:val="30"/>
        </w:rPr>
        <w:t>2017年</w:t>
      </w:r>
      <w:r w:rsidR="005B4F92">
        <w:rPr>
          <w:rFonts w:ascii="仿宋_GB2312" w:eastAsia="仿宋_GB2312" w:hAnsi="宋体" w:cs="宋体" w:hint="eastAsia"/>
          <w:sz w:val="30"/>
          <w:szCs w:val="30"/>
        </w:rPr>
        <w:t>7</w:t>
      </w:r>
      <w:r w:rsidRPr="00744556">
        <w:rPr>
          <w:rFonts w:ascii="仿宋_GB2312" w:eastAsia="仿宋_GB2312" w:hAnsi="宋体" w:cs="宋体" w:hint="eastAsia"/>
          <w:sz w:val="30"/>
          <w:szCs w:val="30"/>
        </w:rPr>
        <w:t>月</w:t>
      </w:r>
      <w:r w:rsidR="005B4F92">
        <w:rPr>
          <w:rFonts w:ascii="仿宋_GB2312" w:eastAsia="仿宋_GB2312" w:hAnsi="宋体" w:cs="宋体" w:hint="eastAsia"/>
          <w:sz w:val="30"/>
          <w:szCs w:val="30"/>
        </w:rPr>
        <w:t>21</w:t>
      </w:r>
      <w:r w:rsidRPr="00744556">
        <w:rPr>
          <w:rFonts w:ascii="仿宋_GB2312" w:eastAsia="仿宋_GB2312" w:hAnsi="宋体" w:cs="宋体" w:hint="eastAsia"/>
          <w:sz w:val="30"/>
          <w:szCs w:val="30"/>
        </w:rPr>
        <w:t>日</w:t>
      </w:r>
    </w:p>
    <w:p w:rsidR="00F51F0A" w:rsidRPr="00D22601" w:rsidRDefault="00F51F0A" w:rsidP="00F51F0A">
      <w:pPr>
        <w:pStyle w:val="a3"/>
        <w:spacing w:line="520" w:lineRule="exact"/>
        <w:rPr>
          <w:rFonts w:ascii="仿宋_GB2312" w:eastAsia="仿宋_GB2312" w:hAnsi="宋体" w:cs="宋体"/>
          <w:sz w:val="30"/>
          <w:szCs w:val="30"/>
        </w:rPr>
      </w:pPr>
    </w:p>
    <w:p w:rsidR="005B4F92" w:rsidRPr="00012210" w:rsidRDefault="005B4F92" w:rsidP="005B4F92">
      <w:pPr>
        <w:pStyle w:val="a3"/>
        <w:spacing w:line="520" w:lineRule="exact"/>
        <w:rPr>
          <w:rFonts w:hAnsi="宋体" w:cs="宋体" w:hint="eastAsia"/>
        </w:rPr>
      </w:pPr>
    </w:p>
    <w:p w:rsidR="00F51F0A" w:rsidRPr="005B4F92" w:rsidRDefault="00F51F0A" w:rsidP="00F51F0A">
      <w:pPr>
        <w:pStyle w:val="a3"/>
        <w:spacing w:line="520" w:lineRule="exact"/>
        <w:rPr>
          <w:rFonts w:ascii="仿宋_GB2312" w:eastAsia="仿宋_GB2312" w:hAnsi="宋体" w:cs="宋体"/>
          <w:sz w:val="30"/>
          <w:szCs w:val="30"/>
        </w:rPr>
      </w:pPr>
    </w:p>
    <w:p w:rsidR="00F51F0A" w:rsidRPr="00F51F0A" w:rsidRDefault="00F51F0A" w:rsidP="00F51F0A">
      <w:pPr>
        <w:pStyle w:val="a3"/>
        <w:spacing w:line="520" w:lineRule="exact"/>
        <w:rPr>
          <w:rFonts w:ascii="仿宋_GB2312" w:eastAsia="仿宋_GB2312" w:hAnsi="宋体" w:cs="宋体"/>
          <w:sz w:val="30"/>
          <w:szCs w:val="30"/>
        </w:rPr>
      </w:pPr>
    </w:p>
    <w:p w:rsidR="00AA164E" w:rsidRPr="00AA164E" w:rsidRDefault="00F51F0A" w:rsidP="00D22601">
      <w:pPr>
        <w:pStyle w:val="a3"/>
        <w:spacing w:line="520" w:lineRule="exact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:rsidR="00AA164E" w:rsidRDefault="00AA164E" w:rsidP="00AA164E">
      <w:pPr>
        <w:pStyle w:val="a3"/>
        <w:rPr>
          <w:rFonts w:ascii="仿宋_GB2312" w:eastAsia="仿宋_GB2312" w:hAnsi="宋体" w:cs="宋体"/>
          <w:sz w:val="30"/>
          <w:szCs w:val="30"/>
        </w:rPr>
      </w:pPr>
    </w:p>
    <w:p w:rsidR="00604ACB" w:rsidRDefault="00604ACB" w:rsidP="004C569C">
      <w:pPr>
        <w:pStyle w:val="a3"/>
        <w:ind w:firstLineChars="200" w:firstLine="640"/>
        <w:rPr>
          <w:rFonts w:asciiTheme="minorHAnsi" w:eastAsia="仿宋_GB2312" w:hAnsiTheme="minorHAnsi" w:cs="宋体"/>
          <w:sz w:val="32"/>
          <w:szCs w:val="32"/>
        </w:rPr>
      </w:pPr>
    </w:p>
    <w:p w:rsidR="00604ACB" w:rsidRDefault="00604ACB" w:rsidP="004C569C">
      <w:pPr>
        <w:pStyle w:val="a3"/>
        <w:ind w:firstLineChars="200" w:firstLine="640"/>
        <w:rPr>
          <w:rFonts w:asciiTheme="minorHAnsi" w:eastAsia="仿宋_GB2312" w:hAnsiTheme="minorHAnsi" w:cs="宋体"/>
          <w:sz w:val="32"/>
          <w:szCs w:val="32"/>
        </w:rPr>
      </w:pPr>
    </w:p>
    <w:p w:rsidR="00744556" w:rsidRPr="005B4F92" w:rsidRDefault="00E956E5" w:rsidP="005B4F92">
      <w:pPr>
        <w:pStyle w:val="a3"/>
        <w:tabs>
          <w:tab w:val="left" w:pos="2983"/>
        </w:tabs>
        <w:ind w:firstLineChars="200" w:firstLine="640"/>
        <w:rPr>
          <w:rFonts w:asciiTheme="minorHAnsi" w:eastAsia="仿宋_GB2312" w:hAnsiTheme="minorHAnsi" w:cs="宋体"/>
          <w:sz w:val="32"/>
          <w:szCs w:val="32"/>
        </w:rPr>
      </w:pPr>
      <w:r>
        <w:rPr>
          <w:rFonts w:asciiTheme="minorHAnsi" w:eastAsia="仿宋_GB2312" w:hAnsiTheme="minorHAnsi" w:cs="宋体"/>
          <w:sz w:val="32"/>
          <w:szCs w:val="32"/>
        </w:rPr>
        <w:tab/>
      </w:r>
    </w:p>
    <w:p w:rsidR="00744556" w:rsidRPr="00744556" w:rsidRDefault="00744556" w:rsidP="00744556">
      <w:pPr>
        <w:pStyle w:val="a3"/>
        <w:spacing w:line="520" w:lineRule="exact"/>
        <w:jc w:val="center"/>
        <w:rPr>
          <w:rFonts w:ascii="仿宋_GB2312" w:eastAsia="仿宋_GB2312" w:hAnsi="宋体" w:cs="宋体"/>
          <w:sz w:val="30"/>
          <w:szCs w:val="30"/>
        </w:rPr>
      </w:pPr>
      <w:r w:rsidRPr="00744556">
        <w:rPr>
          <w:rFonts w:ascii="仿宋_GB2312" w:eastAsia="仿宋_GB2312" w:hAnsi="宋体" w:cs="宋体" w:hint="eastAsia"/>
          <w:sz w:val="30"/>
          <w:szCs w:val="30"/>
        </w:rPr>
        <w:t>法释〔2017〕</w:t>
      </w:r>
      <w:r w:rsidR="005B4F92">
        <w:rPr>
          <w:rFonts w:ascii="仿宋_GB2312" w:eastAsia="仿宋_GB2312" w:hAnsi="宋体" w:cs="宋体" w:hint="eastAsia"/>
          <w:sz w:val="30"/>
          <w:szCs w:val="30"/>
        </w:rPr>
        <w:t>13</w:t>
      </w:r>
      <w:r w:rsidRPr="00744556">
        <w:rPr>
          <w:rFonts w:ascii="仿宋_GB2312" w:eastAsia="仿宋_GB2312" w:hAnsi="宋体" w:cs="宋体" w:hint="eastAsia"/>
          <w:sz w:val="30"/>
          <w:szCs w:val="30"/>
        </w:rPr>
        <w:t>号</w:t>
      </w:r>
    </w:p>
    <w:p w:rsidR="00744556" w:rsidRPr="00744556" w:rsidRDefault="00744556" w:rsidP="00744556">
      <w:pPr>
        <w:pStyle w:val="a3"/>
        <w:spacing w:line="520" w:lineRule="exact"/>
        <w:rPr>
          <w:rFonts w:ascii="仿宋_GB2312" w:eastAsia="仿宋_GB2312" w:hAnsi="宋体" w:cs="宋体"/>
          <w:sz w:val="30"/>
          <w:szCs w:val="30"/>
        </w:rPr>
      </w:pPr>
    </w:p>
    <w:p w:rsidR="00744556" w:rsidRPr="00744556" w:rsidRDefault="00744556" w:rsidP="00744556">
      <w:pPr>
        <w:pStyle w:val="a3"/>
        <w:spacing w:line="520" w:lineRule="exact"/>
        <w:rPr>
          <w:rFonts w:ascii="仿宋_GB2312" w:eastAsia="仿宋_GB2312" w:hAnsi="宋体" w:cs="宋体"/>
          <w:sz w:val="30"/>
          <w:szCs w:val="30"/>
        </w:rPr>
      </w:pPr>
    </w:p>
    <w:p w:rsidR="00744556" w:rsidRPr="00744556" w:rsidRDefault="00744556" w:rsidP="00744556">
      <w:pPr>
        <w:pStyle w:val="a3"/>
        <w:spacing w:line="520" w:lineRule="exact"/>
        <w:rPr>
          <w:rFonts w:ascii="仿宋_GB2312" w:eastAsia="仿宋_GB2312" w:hAnsi="宋体" w:cs="宋体"/>
          <w:sz w:val="30"/>
          <w:szCs w:val="30"/>
        </w:rPr>
      </w:pPr>
    </w:p>
    <w:p w:rsidR="005B4F92" w:rsidRPr="005B4F92" w:rsidRDefault="005B4F92" w:rsidP="005B4F92">
      <w:pPr>
        <w:pStyle w:val="a3"/>
        <w:spacing w:line="520" w:lineRule="exact"/>
        <w:jc w:val="center"/>
        <w:rPr>
          <w:rFonts w:ascii="华文中宋" w:eastAsia="华文中宋" w:hAnsi="华文中宋" w:cs="宋体" w:hint="eastAsia"/>
          <w:sz w:val="36"/>
          <w:szCs w:val="36"/>
        </w:rPr>
      </w:pPr>
      <w:r w:rsidRPr="005B4F92">
        <w:rPr>
          <w:rFonts w:ascii="华文中宋" w:eastAsia="华文中宋" w:hAnsi="华文中宋" w:cs="宋体" w:hint="eastAsia"/>
          <w:sz w:val="36"/>
          <w:szCs w:val="36"/>
        </w:rPr>
        <w:t>最高人民法院最高人民检察院</w:t>
      </w:r>
    </w:p>
    <w:p w:rsidR="005B4F92" w:rsidRPr="005B4F92" w:rsidRDefault="005B4F92" w:rsidP="005B4F92">
      <w:pPr>
        <w:pStyle w:val="a3"/>
        <w:spacing w:line="520" w:lineRule="exact"/>
        <w:jc w:val="center"/>
        <w:rPr>
          <w:rFonts w:ascii="华文中宋" w:eastAsia="华文中宋" w:hAnsi="华文中宋" w:cs="宋体" w:hint="eastAsia"/>
          <w:sz w:val="36"/>
          <w:szCs w:val="36"/>
        </w:rPr>
      </w:pPr>
      <w:r w:rsidRPr="005B4F92">
        <w:rPr>
          <w:rFonts w:ascii="华文中宋" w:eastAsia="华文中宋" w:hAnsi="华文中宋" w:cs="宋体" w:hint="eastAsia"/>
          <w:sz w:val="36"/>
          <w:szCs w:val="36"/>
        </w:rPr>
        <w:t>关于办理组织、强迫、引诱、容留、介绍卖淫</w:t>
      </w:r>
    </w:p>
    <w:p w:rsidR="005B4F92" w:rsidRPr="005B4F92" w:rsidRDefault="005B4F92" w:rsidP="005B4F92">
      <w:pPr>
        <w:pStyle w:val="a3"/>
        <w:spacing w:line="520" w:lineRule="exact"/>
        <w:jc w:val="center"/>
        <w:rPr>
          <w:rFonts w:ascii="华文中宋" w:eastAsia="华文中宋" w:hAnsi="华文中宋" w:cs="宋体" w:hint="eastAsia"/>
          <w:sz w:val="36"/>
          <w:szCs w:val="36"/>
        </w:rPr>
      </w:pPr>
      <w:r w:rsidRPr="005B4F92">
        <w:rPr>
          <w:rFonts w:ascii="华文中宋" w:eastAsia="华文中宋" w:hAnsi="华文中宋" w:cs="宋体" w:hint="eastAsia"/>
          <w:sz w:val="36"/>
          <w:szCs w:val="36"/>
        </w:rPr>
        <w:t>刑事案件适用法律若干问题的解释</w:t>
      </w:r>
    </w:p>
    <w:p w:rsidR="005B4F92" w:rsidRPr="005B4F92" w:rsidRDefault="005B4F92" w:rsidP="005B4F92">
      <w:pPr>
        <w:pStyle w:val="a3"/>
        <w:spacing w:line="520" w:lineRule="exact"/>
        <w:jc w:val="center"/>
        <w:rPr>
          <w:rFonts w:ascii="楷体_GB2312" w:eastAsia="楷体_GB2312" w:hAnsi="宋体" w:cs="宋体" w:hint="eastAsia"/>
          <w:sz w:val="30"/>
          <w:szCs w:val="30"/>
        </w:rPr>
      </w:pPr>
      <w:r w:rsidRPr="005B4F92">
        <w:rPr>
          <w:rFonts w:ascii="楷体_GB2312" w:eastAsia="楷体_GB2312" w:hAnsi="宋体" w:cs="宋体" w:hint="eastAsia"/>
          <w:sz w:val="30"/>
          <w:szCs w:val="30"/>
        </w:rPr>
        <w:t>（2017年5月8日最高人民法院审判委员会第1716次会议、</w:t>
      </w:r>
    </w:p>
    <w:p w:rsidR="005B4F92" w:rsidRPr="005B4F92" w:rsidRDefault="005B4F92" w:rsidP="005B4F92">
      <w:pPr>
        <w:pStyle w:val="a3"/>
        <w:spacing w:line="520" w:lineRule="exact"/>
        <w:jc w:val="center"/>
        <w:rPr>
          <w:rFonts w:ascii="楷体_GB2312" w:eastAsia="楷体_GB2312" w:hAnsi="宋体" w:cs="宋体" w:hint="eastAsia"/>
          <w:sz w:val="30"/>
          <w:szCs w:val="30"/>
        </w:rPr>
      </w:pPr>
      <w:r w:rsidRPr="005B4F92">
        <w:rPr>
          <w:rFonts w:ascii="楷体_GB2312" w:eastAsia="楷体_GB2312" w:hAnsi="宋体" w:cs="宋体" w:hint="eastAsia"/>
          <w:sz w:val="30"/>
          <w:szCs w:val="30"/>
        </w:rPr>
        <w:t>2017年7月4日最高人民检察院第十二届检察委员会</w:t>
      </w:r>
    </w:p>
    <w:p w:rsidR="005B4F92" w:rsidRPr="005B4F92" w:rsidRDefault="005B4F92" w:rsidP="005B4F92">
      <w:pPr>
        <w:pStyle w:val="a3"/>
        <w:spacing w:line="520" w:lineRule="exact"/>
        <w:jc w:val="center"/>
        <w:rPr>
          <w:rFonts w:ascii="楷体_GB2312" w:eastAsia="楷体_GB2312" w:hAnsi="宋体" w:cs="宋体" w:hint="eastAsia"/>
          <w:sz w:val="30"/>
          <w:szCs w:val="30"/>
        </w:rPr>
      </w:pPr>
      <w:r w:rsidRPr="005B4F92">
        <w:rPr>
          <w:rFonts w:ascii="楷体_GB2312" w:eastAsia="楷体_GB2312" w:hAnsi="宋体" w:cs="宋体" w:hint="eastAsia"/>
          <w:sz w:val="30"/>
          <w:szCs w:val="30"/>
        </w:rPr>
        <w:t>第66次会议通过，自2017年7月25日起施行）</w:t>
      </w:r>
    </w:p>
    <w:p w:rsidR="00744556" w:rsidRPr="005B4F92" w:rsidRDefault="00744556" w:rsidP="00744556">
      <w:pPr>
        <w:pStyle w:val="a3"/>
        <w:spacing w:line="520" w:lineRule="exact"/>
        <w:rPr>
          <w:rFonts w:ascii="仿宋_GB2312" w:eastAsia="仿宋_GB2312" w:hAnsi="宋体" w:cs="宋体"/>
          <w:sz w:val="30"/>
          <w:szCs w:val="30"/>
        </w:rPr>
      </w:pPr>
    </w:p>
    <w:p w:rsidR="005B4F92" w:rsidRPr="005B4F92" w:rsidRDefault="00744556" w:rsidP="00F46383">
      <w:pPr>
        <w:pStyle w:val="a3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    </w:t>
      </w:r>
      <w:r w:rsidR="005B4F92" w:rsidRPr="005B4F92">
        <w:rPr>
          <w:rFonts w:ascii="仿宋_GB2312" w:eastAsia="仿宋_GB2312" w:hAnsi="宋体" w:cs="宋体" w:hint="eastAsia"/>
          <w:sz w:val="30"/>
          <w:szCs w:val="30"/>
        </w:rPr>
        <w:t>为依法惩治组织、强迫、引诱、容留、介绍卖淫犯罪活动，根据刑法有关规定，结合司法工作实际，现就办理这类刑事案件具体应用法律的若干问题解释如下：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黑体" w:eastAsia="黑体" w:hAnsi="黑体" w:cs="宋体" w:hint="eastAsia"/>
          <w:sz w:val="30"/>
          <w:szCs w:val="30"/>
        </w:rPr>
        <w:t>第一条</w:t>
      </w:r>
      <w:r>
        <w:rPr>
          <w:rFonts w:ascii="黑体" w:eastAsia="黑体" w:hAnsi="黑体" w:cs="宋体" w:hint="eastAsia"/>
          <w:sz w:val="30"/>
          <w:szCs w:val="30"/>
        </w:rPr>
        <w:t xml:space="preserve"> </w:t>
      </w:r>
      <w:r w:rsidRPr="005B4F92">
        <w:rPr>
          <w:rFonts w:ascii="仿宋_GB2312" w:eastAsia="仿宋_GB2312" w:hAnsi="宋体" w:cs="宋体" w:hint="eastAsia"/>
          <w:sz w:val="30"/>
          <w:szCs w:val="30"/>
        </w:rPr>
        <w:t>以招募、雇佣、纠集等手段，管理或者控制他人卖淫，卖淫人员在三人以上的，应当认定为刑法第三百五十八条规定的“组织他人卖淫”。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组织卖淫者是否设置固定的卖淫场所、组织卖淫者人数多少、规模大小，不影响组织卖淫行为的认定。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黑体" w:eastAsia="黑体" w:hAnsi="黑体" w:cs="宋体" w:hint="eastAsia"/>
          <w:sz w:val="30"/>
          <w:szCs w:val="30"/>
        </w:rPr>
        <w:t>第二条</w:t>
      </w:r>
      <w:r>
        <w:rPr>
          <w:rFonts w:ascii="黑体" w:eastAsia="黑体" w:hAnsi="黑体" w:cs="宋体" w:hint="eastAsia"/>
          <w:sz w:val="30"/>
          <w:szCs w:val="30"/>
        </w:rPr>
        <w:t xml:space="preserve"> </w:t>
      </w:r>
      <w:r w:rsidRPr="005B4F92">
        <w:rPr>
          <w:rFonts w:ascii="仿宋_GB2312" w:eastAsia="仿宋_GB2312" w:hAnsi="宋体" w:cs="宋体" w:hint="eastAsia"/>
          <w:sz w:val="30"/>
          <w:szCs w:val="30"/>
        </w:rPr>
        <w:t>组织他人卖淫，具有下列情形之一的，应当认定为刑法第三百五十八条第一款规定的“情节严重”：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（一）卖淫人员累计达十人以上的；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lastRenderedPageBreak/>
        <w:t>（二）卖淫人员中未成年人、孕妇、智障人员、患有严重性病的人累计达五人以上的；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（三）组织境外人员在境内卖淫或者组织境内人员出境卖淫的；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（四）非法获利人民币一百万元以上的；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（五）造成被组织卖淫的人自残、自杀或者其他严重后果的；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（六）其他情节严重的情形。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黑体" w:eastAsia="黑体" w:hAnsi="黑体" w:cs="宋体" w:hint="eastAsia"/>
          <w:sz w:val="30"/>
          <w:szCs w:val="30"/>
        </w:rPr>
        <w:t>第三条</w:t>
      </w:r>
      <w:r>
        <w:rPr>
          <w:rFonts w:ascii="黑体" w:eastAsia="黑体" w:hAnsi="黑体" w:cs="宋体" w:hint="eastAsia"/>
          <w:sz w:val="30"/>
          <w:szCs w:val="30"/>
        </w:rPr>
        <w:t xml:space="preserve"> </w:t>
      </w:r>
      <w:r w:rsidRPr="005B4F92">
        <w:rPr>
          <w:rFonts w:ascii="仿宋_GB2312" w:eastAsia="仿宋_GB2312" w:hAnsi="宋体" w:cs="宋体" w:hint="eastAsia"/>
          <w:sz w:val="30"/>
          <w:szCs w:val="30"/>
        </w:rPr>
        <w:t>在组织卖淫犯罪活动中，对被组织卖淫的人有引诱、容留、介绍卖淫行为的，依照处罚较重的规定定罪处罚。但是，对被组织卖淫的人以外的其他人有引诱、容留、介绍卖淫行为的，应当分别定罪，实行数罪并罚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黑体" w:eastAsia="黑体" w:hAnsi="黑体" w:cs="宋体" w:hint="eastAsia"/>
          <w:sz w:val="30"/>
          <w:szCs w:val="30"/>
        </w:rPr>
        <w:t>第四条</w:t>
      </w:r>
      <w:r>
        <w:rPr>
          <w:rFonts w:ascii="黑体" w:eastAsia="黑体" w:hAnsi="黑体" w:cs="宋体" w:hint="eastAsia"/>
          <w:sz w:val="30"/>
          <w:szCs w:val="30"/>
        </w:rPr>
        <w:t xml:space="preserve"> </w:t>
      </w:r>
      <w:r w:rsidRPr="005B4F92">
        <w:rPr>
          <w:rFonts w:ascii="仿宋_GB2312" w:eastAsia="仿宋_GB2312" w:hAnsi="宋体" w:cs="宋体" w:hint="eastAsia"/>
          <w:sz w:val="30"/>
          <w:szCs w:val="30"/>
        </w:rPr>
        <w:t>明知他人实施组织卖淫犯罪活动而为其招募、运送人员或者充当保镖、打手、管账人等的，依照刑法第三百五十八条第四款的规定，以协助组织卖淫罪定罪处罚，不以组织卖淫罪的从犯论处。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在具有营业执照的会所、洗浴中心等经营场所担任保洁员、收银员、保安员等，从事一般服务性、劳务性工作，仅领取正常薪酬，且无前款所列协助组织卖淫行为的，不认定为协助组织卖淫罪。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黑体" w:eastAsia="黑体" w:hAnsi="黑体" w:cs="宋体" w:hint="eastAsia"/>
          <w:sz w:val="30"/>
          <w:szCs w:val="30"/>
        </w:rPr>
        <w:t>第五条</w:t>
      </w:r>
      <w:r>
        <w:rPr>
          <w:rFonts w:ascii="黑体" w:eastAsia="黑体" w:hAnsi="黑体" w:cs="宋体" w:hint="eastAsia"/>
          <w:sz w:val="30"/>
          <w:szCs w:val="30"/>
        </w:rPr>
        <w:t xml:space="preserve"> </w:t>
      </w:r>
      <w:r w:rsidRPr="005B4F92">
        <w:rPr>
          <w:rFonts w:ascii="仿宋_GB2312" w:eastAsia="仿宋_GB2312" w:hAnsi="宋体" w:cs="宋体" w:hint="eastAsia"/>
          <w:sz w:val="30"/>
          <w:szCs w:val="30"/>
        </w:rPr>
        <w:t>协助组织他人卖淫，具有下列情形之一的，应当认定为刑法第三百五十八条第四款规定的“情节严重”：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（一）招募、运送卖淫人员累计达十人以上的；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lastRenderedPageBreak/>
        <w:t>（二）招募、运送的卖淫人员中未成年人、孕妇、智障人员、患有严重性病的人累计达五人以上的；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（三）协助组织境外人员在境内卖淫或者协助组织境内人员出境卖淫的；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（四）非法获利人民币五十万元以上的；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（五）造成被招募、运送或者被组织卖淫的人自残、自杀或者其他严重后果的；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（六）其他情节严重的情形。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黑体" w:eastAsia="黑体" w:hAnsi="黑体" w:cs="宋体" w:hint="eastAsia"/>
          <w:sz w:val="30"/>
          <w:szCs w:val="30"/>
        </w:rPr>
        <w:t>第六条</w:t>
      </w:r>
      <w:r>
        <w:rPr>
          <w:rFonts w:ascii="黑体" w:eastAsia="黑体" w:hAnsi="黑体" w:cs="宋体" w:hint="eastAsia"/>
          <w:sz w:val="30"/>
          <w:szCs w:val="30"/>
        </w:rPr>
        <w:t xml:space="preserve"> </w:t>
      </w:r>
      <w:r w:rsidRPr="005B4F92">
        <w:rPr>
          <w:rFonts w:ascii="仿宋_GB2312" w:eastAsia="仿宋_GB2312" w:hAnsi="宋体" w:cs="宋体" w:hint="eastAsia"/>
          <w:sz w:val="30"/>
          <w:szCs w:val="30"/>
        </w:rPr>
        <w:t>强迫他人卖淫，具有下列情形之一的，应当认定为刑法第三百五十八条第一款规定的“情节严重”：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（一）卖淫人员累计达五人以上的；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（二）卖淫人员中未成年人、孕妇、智障人员、患有严重性病的人累计达三人以上的；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（三）强迫不满十四周岁的幼女卖淫的；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（四）造成被强迫卖淫的人自残、自杀或者其他严重后果的；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（五）其他情节严重的情形。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行为人既有组织卖淫犯罪行为，又有强迫卖淫犯罪行为，且具有下列情形之一的，以组织、强迫卖淫“情节严重”论处：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（一）组织卖淫、强迫卖淫行为中具有本解释第二条、本条前款规定的“情节严重”情形之一的；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（二）卖淫人员累计达到本解释第二条第一、二项规定的组织卖淫“情节严重”人数标准的；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lastRenderedPageBreak/>
        <w:t>（三）非法获利数额相加达到本解释第二条第四项规定的组织卖淫“情节严重”数额标准的。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黑体" w:eastAsia="黑体" w:hAnsi="黑体" w:cs="宋体" w:hint="eastAsia"/>
          <w:sz w:val="30"/>
          <w:szCs w:val="30"/>
        </w:rPr>
        <w:t>第七条</w:t>
      </w:r>
      <w:r>
        <w:rPr>
          <w:rFonts w:ascii="黑体" w:eastAsia="黑体" w:hAnsi="黑体" w:cs="宋体" w:hint="eastAsia"/>
          <w:sz w:val="30"/>
          <w:szCs w:val="30"/>
        </w:rPr>
        <w:t xml:space="preserve"> </w:t>
      </w:r>
      <w:r w:rsidRPr="005B4F92">
        <w:rPr>
          <w:rFonts w:ascii="仿宋_GB2312" w:eastAsia="仿宋_GB2312" w:hAnsi="宋体" w:cs="宋体" w:hint="eastAsia"/>
          <w:sz w:val="30"/>
          <w:szCs w:val="30"/>
        </w:rPr>
        <w:t>根据刑法第三百五十八条第三款的规定，犯组织、强迫卖淫罪，并有杀害、伤害、强奸、绑架等犯罪行为的，依照数罪并罚的规定处罚。协助组织卖淫行为人参与实施上述行为的，以共同犯罪论处。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根据刑法第三百五十八条第二款的规定，组织、强迫未成年人卖淫的，应当从重处罚。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黑体" w:eastAsia="黑体" w:hAnsi="黑体" w:cs="宋体" w:hint="eastAsia"/>
          <w:sz w:val="30"/>
          <w:szCs w:val="30"/>
        </w:rPr>
        <w:t>第八条</w:t>
      </w:r>
      <w:r>
        <w:rPr>
          <w:rFonts w:ascii="黑体" w:eastAsia="黑体" w:hAnsi="黑体" w:cs="宋体" w:hint="eastAsia"/>
          <w:sz w:val="30"/>
          <w:szCs w:val="30"/>
        </w:rPr>
        <w:t xml:space="preserve"> </w:t>
      </w:r>
      <w:r w:rsidRPr="005B4F92">
        <w:rPr>
          <w:rFonts w:ascii="仿宋_GB2312" w:eastAsia="仿宋_GB2312" w:hAnsi="宋体" w:cs="宋体" w:hint="eastAsia"/>
          <w:sz w:val="30"/>
          <w:szCs w:val="30"/>
        </w:rPr>
        <w:t>引诱、容留、介绍他人卖淫，具有下列情形之一的，应当依照刑法第三百五十九条第一款的规定定罪处罚：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（一）引诱他人卖淫的；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（二）容留、介绍二人以上卖淫的；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（三）容留、介绍未成年人、孕妇、智障人员、患有严重性病的人卖淫的；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（四）一年内曾因引诱、容留、介绍卖淫行为被行政处罚，又实施容留、介绍卖淫行为的；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（五）非法获利人民币一万元以上的。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利用信息网络发布招嫖违法信息，情节严重的，依照刑法第二百八十七条之一的规定，以非法利用信息网络罪定罪处罚。同时构成介绍卖淫罪的，依照处罚较重的规定定罪处罚。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引诱、容留、介绍他人卖淫是否以营利为目的，不影响犯罪的成立。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lastRenderedPageBreak/>
        <w:t>引诱不满十四周岁的幼女卖淫的，依照刑法第三百五十九条第二款的规定，以引诱幼女卖淫罪定罪处罚。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被引诱卖淫的人员中既有不满十四周岁的幼女，又有其他人员的，分别以引诱幼女卖淫罪和引诱卖淫罪定罪，实行并罚。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黑体" w:eastAsia="黑体" w:hAnsi="黑体" w:cs="宋体" w:hint="eastAsia"/>
          <w:sz w:val="30"/>
          <w:szCs w:val="30"/>
        </w:rPr>
        <w:t>第九条</w:t>
      </w:r>
      <w:r>
        <w:rPr>
          <w:rFonts w:ascii="黑体" w:eastAsia="黑体" w:hAnsi="黑体" w:cs="宋体" w:hint="eastAsia"/>
          <w:sz w:val="30"/>
          <w:szCs w:val="30"/>
        </w:rPr>
        <w:t xml:space="preserve"> </w:t>
      </w:r>
      <w:r w:rsidRPr="005B4F92">
        <w:rPr>
          <w:rFonts w:ascii="仿宋_GB2312" w:eastAsia="仿宋_GB2312" w:hAnsi="宋体" w:cs="宋体" w:hint="eastAsia"/>
          <w:sz w:val="30"/>
          <w:szCs w:val="30"/>
        </w:rPr>
        <w:t>引诱、容留、介绍他人卖淫，具有下列情形之一的，应当认定为刑法第三百五十九条第一款规定的“情节严重”：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（一）引诱五人以上或者引诱、容留、介绍十人以上卖淫的；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（二）引诱三人以上的未成年人、孕妇、智障人员、患有严重性病的人卖淫，或者引诱、容留、介绍五人以上该类人员卖淫的；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（三）非法获利人民币五万元以上的；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（四）其他情节严重的情形。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黑体" w:eastAsia="黑体" w:hAnsi="黑体" w:cs="宋体" w:hint="eastAsia"/>
          <w:sz w:val="30"/>
          <w:szCs w:val="30"/>
        </w:rPr>
        <w:t>第十条</w:t>
      </w:r>
      <w:r>
        <w:rPr>
          <w:rFonts w:ascii="黑体" w:eastAsia="黑体" w:hAnsi="黑体" w:cs="宋体" w:hint="eastAsia"/>
          <w:sz w:val="30"/>
          <w:szCs w:val="30"/>
        </w:rPr>
        <w:t xml:space="preserve"> </w:t>
      </w:r>
      <w:r w:rsidRPr="005B4F92">
        <w:rPr>
          <w:rFonts w:ascii="仿宋_GB2312" w:eastAsia="仿宋_GB2312" w:hAnsi="宋体" w:cs="宋体" w:hint="eastAsia"/>
          <w:sz w:val="30"/>
          <w:szCs w:val="30"/>
        </w:rPr>
        <w:t>组织、强迫、引诱、容留、介绍他人卖淫的次数，作为酌定情节在量刑时考虑。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黑体" w:eastAsia="黑体" w:hAnsi="黑体" w:cs="宋体" w:hint="eastAsia"/>
          <w:sz w:val="30"/>
          <w:szCs w:val="30"/>
        </w:rPr>
        <w:t>第十一条</w:t>
      </w:r>
      <w:r>
        <w:rPr>
          <w:rFonts w:ascii="黑体" w:eastAsia="黑体" w:hAnsi="黑体" w:cs="宋体" w:hint="eastAsia"/>
          <w:sz w:val="30"/>
          <w:szCs w:val="30"/>
        </w:rPr>
        <w:t xml:space="preserve"> </w:t>
      </w:r>
      <w:r w:rsidRPr="005B4F92">
        <w:rPr>
          <w:rFonts w:ascii="仿宋_GB2312" w:eastAsia="仿宋_GB2312" w:hAnsi="宋体" w:cs="宋体" w:hint="eastAsia"/>
          <w:sz w:val="30"/>
          <w:szCs w:val="30"/>
        </w:rPr>
        <w:t>具有下列情形之一的，应当认定为刑法第三百六十条规定的“明知”：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（一）有证据证明曾到医院或者其他医疗机构就医或者检查，被诊断为患有严重性病的；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（二）根据本人的知识和经验，能够知道自己患有严重性病的；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（三）通过其他方法能够证明行为人是“明知”的。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传播性病行为是否实际造成他人患上严重性病的后果，不影</w:t>
      </w:r>
      <w:r w:rsidRPr="005B4F92">
        <w:rPr>
          <w:rFonts w:ascii="仿宋_GB2312" w:eastAsia="仿宋_GB2312" w:hAnsi="宋体" w:cs="宋体" w:hint="eastAsia"/>
          <w:sz w:val="30"/>
          <w:szCs w:val="30"/>
        </w:rPr>
        <w:lastRenderedPageBreak/>
        <w:t>响本罪的成立。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刑法第三百六十条规定所称的“严重性病”，包括梅毒、淋病等。其它性病是否认定为“严重性病”，应当根据《中华人民共和国传染病防治法》《性病防治管理办法》的规定，在国家卫生与计划生育委员会规定实行性病监测的性病范围内，依照其危害、特点与梅毒、淋病相当的原则，从严掌握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黑体" w:eastAsia="黑体" w:hAnsi="黑体" w:cs="宋体" w:hint="eastAsia"/>
          <w:sz w:val="30"/>
          <w:szCs w:val="30"/>
        </w:rPr>
        <w:t>第十二条</w:t>
      </w:r>
      <w:r>
        <w:rPr>
          <w:rFonts w:ascii="黑体" w:eastAsia="黑体" w:hAnsi="黑体" w:cs="宋体" w:hint="eastAsia"/>
          <w:sz w:val="30"/>
          <w:szCs w:val="30"/>
        </w:rPr>
        <w:t xml:space="preserve"> </w:t>
      </w:r>
      <w:r w:rsidRPr="005B4F92">
        <w:rPr>
          <w:rFonts w:ascii="仿宋_GB2312" w:eastAsia="仿宋_GB2312" w:hAnsi="宋体" w:cs="宋体" w:hint="eastAsia"/>
          <w:sz w:val="30"/>
          <w:szCs w:val="30"/>
        </w:rPr>
        <w:t>明知自己患有艾滋病或者感染艾滋病病毒而卖淫、嫖娼的，依照刑法第三百六十条的规定，以传播性病罪定罪，从重处罚。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具有下列情形之一，致使他人感染艾滋病病毒的，认定为刑法第九十五条第三项“其他对于人身健康有重大伤害”所指的“重伤”，依照刑法第二百三十四条第二款的规定，以故意伤害罪定罪处罚：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（一）明知自己感染艾滋病病毒而卖淫、嫖娼的；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（二）明知自己感染艾滋病病毒，故意不采取防范措施而与他人发生性关系的。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黑体" w:eastAsia="黑体" w:hAnsi="黑体" w:cs="宋体" w:hint="eastAsia"/>
          <w:sz w:val="30"/>
          <w:szCs w:val="30"/>
        </w:rPr>
        <w:t>第十三条</w:t>
      </w:r>
      <w:r>
        <w:rPr>
          <w:rFonts w:ascii="黑体" w:eastAsia="黑体" w:hAnsi="黑体" w:cs="宋体" w:hint="eastAsia"/>
          <w:sz w:val="30"/>
          <w:szCs w:val="30"/>
        </w:rPr>
        <w:t xml:space="preserve"> </w:t>
      </w:r>
      <w:r w:rsidRPr="005B4F92">
        <w:rPr>
          <w:rFonts w:ascii="仿宋_GB2312" w:eastAsia="仿宋_GB2312" w:hAnsi="宋体" w:cs="宋体" w:hint="eastAsia"/>
          <w:sz w:val="30"/>
          <w:szCs w:val="30"/>
        </w:rPr>
        <w:t>犯组织、强迫、引诱、容留、介绍卖淫罪的，应当依法判处犯罪所得二倍以上的罚金。共同犯罪的，对各共同犯罪人合计判处的罚金应当在犯罪所得的二倍以上。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对犯组织、强迫卖淫罪被判处无期徒刑的，应当并处没收财产。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黑体" w:eastAsia="黑体" w:hAnsi="黑体" w:cs="宋体" w:hint="eastAsia"/>
          <w:sz w:val="30"/>
          <w:szCs w:val="30"/>
        </w:rPr>
        <w:t>第十四条</w:t>
      </w:r>
      <w:r>
        <w:rPr>
          <w:rFonts w:ascii="黑体" w:eastAsia="黑体" w:hAnsi="黑体" w:cs="宋体" w:hint="eastAsia"/>
          <w:sz w:val="30"/>
          <w:szCs w:val="30"/>
        </w:rPr>
        <w:t xml:space="preserve"> </w:t>
      </w:r>
      <w:r w:rsidRPr="005B4F92">
        <w:rPr>
          <w:rFonts w:ascii="仿宋_GB2312" w:eastAsia="仿宋_GB2312" w:hAnsi="宋体" w:cs="宋体" w:hint="eastAsia"/>
          <w:sz w:val="30"/>
          <w:szCs w:val="30"/>
        </w:rPr>
        <w:t>根据刑法第三百六十二条、第三百一十条的规定，</w:t>
      </w:r>
      <w:r w:rsidRPr="005B4F92">
        <w:rPr>
          <w:rFonts w:ascii="仿宋_GB2312" w:eastAsia="仿宋_GB2312" w:hAnsi="宋体" w:cs="宋体" w:hint="eastAsia"/>
          <w:sz w:val="30"/>
          <w:szCs w:val="30"/>
        </w:rPr>
        <w:lastRenderedPageBreak/>
        <w:t>旅馆业、饮食服务业、文化娱乐业、出租汽车业等单位的人员，在公安机关查处卖淫、嫖娼活动时，为违法犯罪分子通风报信，情节严重的，以包庇罪定罪处罚。事前与犯罪分子通谋的，以共同犯罪论处。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具有下列情形之一的，应当认定为刑法第三百六十二条规定的“情节严重”：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（一）向组织、强迫卖淫犯罪集团通风报信的；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（二）二年内通风报信三次以上的；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（三）一年内因通风报信被行政处罚，又实施通风报信行为的；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（四）致使犯罪集团的首要分子或者其他共同犯罪的主犯未能及时归案的；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（五）造成卖淫嫖娼人员逃跑，致使公安机关查处犯罪行为因取证困难而撤销刑事案件的；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（六）非法获利人民币一万元以上的；</w:t>
      </w:r>
    </w:p>
    <w:p w:rsidR="005B4F92" w:rsidRPr="005B4F92" w:rsidRDefault="005B4F92" w:rsidP="005B4F92">
      <w:pPr>
        <w:pStyle w:val="a3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 w:rsidRPr="005B4F92">
        <w:rPr>
          <w:rFonts w:ascii="仿宋_GB2312" w:eastAsia="仿宋_GB2312" w:hAnsi="宋体" w:cs="宋体" w:hint="eastAsia"/>
          <w:sz w:val="30"/>
          <w:szCs w:val="30"/>
        </w:rPr>
        <w:t>（七）其他情节严重的情形。</w:t>
      </w:r>
    </w:p>
    <w:p w:rsidR="005B4F92" w:rsidRPr="00012210" w:rsidRDefault="005B4F92" w:rsidP="005B4F92">
      <w:pPr>
        <w:pStyle w:val="a3"/>
        <w:ind w:firstLineChars="200" w:firstLine="600"/>
        <w:rPr>
          <w:rFonts w:hAnsi="宋体" w:cs="宋体" w:hint="eastAsia"/>
        </w:rPr>
      </w:pPr>
      <w:r w:rsidRPr="005B4F92">
        <w:rPr>
          <w:rFonts w:ascii="黑体" w:eastAsia="黑体" w:hAnsi="黑体" w:cs="宋体" w:hint="eastAsia"/>
          <w:sz w:val="30"/>
          <w:szCs w:val="30"/>
        </w:rPr>
        <w:t>第十五条</w:t>
      </w:r>
      <w:r>
        <w:rPr>
          <w:rFonts w:ascii="黑体" w:eastAsia="黑体" w:hAnsi="黑体" w:cs="宋体" w:hint="eastAsia"/>
          <w:sz w:val="30"/>
          <w:szCs w:val="30"/>
        </w:rPr>
        <w:t xml:space="preserve"> </w:t>
      </w:r>
      <w:r w:rsidRPr="005B4F92">
        <w:rPr>
          <w:rFonts w:ascii="仿宋_GB2312" w:eastAsia="仿宋_GB2312" w:hAnsi="宋体" w:cs="宋体" w:hint="eastAsia"/>
          <w:sz w:val="30"/>
          <w:szCs w:val="30"/>
        </w:rPr>
        <w:t>本解释自2017年7月25日起施行。</w:t>
      </w:r>
    </w:p>
    <w:p w:rsidR="00744556" w:rsidRDefault="00744556" w:rsidP="00424C9C">
      <w:pPr>
        <w:pStyle w:val="a3"/>
        <w:rPr>
          <w:rFonts w:hAnsi="宋体" w:cs="宋体"/>
        </w:rPr>
      </w:pPr>
    </w:p>
    <w:p w:rsidR="00744556" w:rsidRDefault="00744556" w:rsidP="00424C9C">
      <w:pPr>
        <w:pStyle w:val="a3"/>
        <w:rPr>
          <w:rFonts w:hAnsi="宋体" w:cs="宋体"/>
        </w:rPr>
      </w:pPr>
    </w:p>
    <w:p w:rsidR="00744556" w:rsidRDefault="00744556" w:rsidP="00424C9C">
      <w:pPr>
        <w:pStyle w:val="a3"/>
        <w:rPr>
          <w:rFonts w:hAnsi="宋体" w:cs="宋体"/>
        </w:rPr>
      </w:pPr>
    </w:p>
    <w:p w:rsidR="00744556" w:rsidRDefault="00744556" w:rsidP="00424C9C">
      <w:pPr>
        <w:pStyle w:val="a3"/>
        <w:rPr>
          <w:rFonts w:hAnsi="宋体" w:cs="宋体"/>
        </w:rPr>
      </w:pPr>
    </w:p>
    <w:p w:rsidR="00744556" w:rsidRDefault="00744556" w:rsidP="00424C9C">
      <w:pPr>
        <w:pStyle w:val="a3"/>
        <w:rPr>
          <w:rFonts w:hAnsi="宋体" w:cs="宋体"/>
        </w:rPr>
      </w:pPr>
    </w:p>
    <w:p w:rsidR="00744556" w:rsidRDefault="00744556" w:rsidP="00424C9C">
      <w:pPr>
        <w:pStyle w:val="a3"/>
        <w:rPr>
          <w:rFonts w:hAnsi="宋体" w:cs="宋体"/>
        </w:rPr>
      </w:pPr>
    </w:p>
    <w:p w:rsidR="00744556" w:rsidRDefault="00744556" w:rsidP="00424C9C">
      <w:pPr>
        <w:pStyle w:val="a3"/>
        <w:rPr>
          <w:rFonts w:hAnsi="宋体" w:cs="宋体"/>
        </w:rPr>
      </w:pPr>
    </w:p>
    <w:p w:rsidR="00744556" w:rsidRDefault="00744556" w:rsidP="00424C9C">
      <w:pPr>
        <w:pStyle w:val="a3"/>
        <w:rPr>
          <w:rFonts w:hAnsi="宋体" w:cs="宋体"/>
        </w:rPr>
      </w:pPr>
    </w:p>
    <w:p w:rsidR="00744556" w:rsidRDefault="00744556" w:rsidP="00424C9C">
      <w:pPr>
        <w:pStyle w:val="a3"/>
        <w:rPr>
          <w:rFonts w:hAnsi="宋体" w:cs="宋体" w:hint="eastAsia"/>
        </w:rPr>
      </w:pPr>
    </w:p>
    <w:p w:rsidR="005B4F92" w:rsidRDefault="005B4F92" w:rsidP="00424C9C">
      <w:pPr>
        <w:pStyle w:val="a3"/>
        <w:rPr>
          <w:rFonts w:hAnsi="宋体" w:cs="宋体" w:hint="eastAsia"/>
        </w:rPr>
      </w:pPr>
    </w:p>
    <w:p w:rsidR="005B4F92" w:rsidRDefault="005B4F92" w:rsidP="00424C9C">
      <w:pPr>
        <w:pStyle w:val="a3"/>
        <w:rPr>
          <w:rFonts w:hAnsi="宋体" w:cs="宋体" w:hint="eastAsia"/>
        </w:rPr>
      </w:pPr>
    </w:p>
    <w:p w:rsidR="005B4F92" w:rsidRDefault="005B4F92" w:rsidP="00424C9C">
      <w:pPr>
        <w:pStyle w:val="a3"/>
        <w:rPr>
          <w:rFonts w:hAnsi="宋体" w:cs="宋体" w:hint="eastAsia"/>
        </w:rPr>
      </w:pPr>
    </w:p>
    <w:p w:rsidR="005B4F92" w:rsidRDefault="005B4F92" w:rsidP="00424C9C">
      <w:pPr>
        <w:pStyle w:val="a3"/>
        <w:rPr>
          <w:rFonts w:hAnsi="宋体" w:cs="宋体" w:hint="eastAsia"/>
        </w:rPr>
      </w:pPr>
    </w:p>
    <w:p w:rsidR="005B4F92" w:rsidRDefault="005B4F92" w:rsidP="00424C9C">
      <w:pPr>
        <w:pStyle w:val="a3"/>
        <w:rPr>
          <w:rFonts w:hAnsi="宋体" w:cs="宋体" w:hint="eastAsia"/>
        </w:rPr>
      </w:pPr>
    </w:p>
    <w:p w:rsidR="005B4F92" w:rsidRDefault="005B4F92" w:rsidP="00424C9C">
      <w:pPr>
        <w:pStyle w:val="a3"/>
        <w:rPr>
          <w:rFonts w:hAnsi="宋体" w:cs="宋体" w:hint="eastAsia"/>
        </w:rPr>
      </w:pPr>
    </w:p>
    <w:p w:rsidR="005B4F92" w:rsidRDefault="005B4F92" w:rsidP="00424C9C">
      <w:pPr>
        <w:pStyle w:val="a3"/>
        <w:rPr>
          <w:rFonts w:hAnsi="宋体" w:cs="宋体" w:hint="eastAsia"/>
        </w:rPr>
      </w:pPr>
    </w:p>
    <w:p w:rsidR="005B4F92" w:rsidRDefault="005B4F92" w:rsidP="00424C9C">
      <w:pPr>
        <w:pStyle w:val="a3"/>
        <w:rPr>
          <w:rFonts w:hAnsi="宋体" w:cs="宋体" w:hint="eastAsia"/>
        </w:rPr>
      </w:pPr>
    </w:p>
    <w:p w:rsidR="005B4F92" w:rsidRDefault="005B4F92" w:rsidP="00424C9C">
      <w:pPr>
        <w:pStyle w:val="a3"/>
        <w:rPr>
          <w:rFonts w:hAnsi="宋体" w:cs="宋体" w:hint="eastAsia"/>
        </w:rPr>
      </w:pPr>
    </w:p>
    <w:p w:rsidR="005B4F92" w:rsidRDefault="005B4F92" w:rsidP="00424C9C">
      <w:pPr>
        <w:pStyle w:val="a3"/>
        <w:rPr>
          <w:rFonts w:hAnsi="宋体" w:cs="宋体"/>
        </w:rPr>
      </w:pPr>
    </w:p>
    <w:p w:rsidR="00744556" w:rsidRDefault="00744556" w:rsidP="00424C9C">
      <w:pPr>
        <w:pStyle w:val="a3"/>
        <w:rPr>
          <w:rFonts w:hAnsi="宋体" w:cs="宋体"/>
        </w:rPr>
      </w:pPr>
    </w:p>
    <w:p w:rsidR="00744556" w:rsidRDefault="00744556" w:rsidP="00424C9C">
      <w:pPr>
        <w:pStyle w:val="a3"/>
        <w:rPr>
          <w:rFonts w:hAnsi="宋体" w:cs="宋体"/>
        </w:rPr>
      </w:pPr>
    </w:p>
    <w:p w:rsidR="006F6FC3" w:rsidRPr="006F6FC3" w:rsidRDefault="006F6FC3" w:rsidP="00CB05CD">
      <w:pPr>
        <w:pStyle w:val="a3"/>
        <w:rPr>
          <w:rFonts w:hAnsi="宋体" w:cs="宋体"/>
          <w:u w:val="single"/>
        </w:rPr>
      </w:pPr>
      <w:r>
        <w:rPr>
          <w:rFonts w:hAnsi="宋体" w:cs="宋体" w:hint="eastAsia"/>
          <w:u w:val="single"/>
        </w:rPr>
        <w:t xml:space="preserve">                                       </w:t>
      </w:r>
      <w:r w:rsidR="00C03182">
        <w:rPr>
          <w:rFonts w:hAnsi="宋体" w:cs="宋体" w:hint="eastAsia"/>
          <w:u w:val="single"/>
        </w:rPr>
        <w:t xml:space="preserve"> </w:t>
      </w:r>
      <w:r>
        <w:rPr>
          <w:rFonts w:hAnsi="宋体" w:cs="宋体" w:hint="eastAsia"/>
          <w:u w:val="single"/>
        </w:rPr>
        <w:t xml:space="preserve">                                      </w:t>
      </w:r>
    </w:p>
    <w:p w:rsidR="00233F94" w:rsidRPr="006F6FC3" w:rsidRDefault="00CB05CD" w:rsidP="006F6FC3">
      <w:pPr>
        <w:pStyle w:val="a3"/>
        <w:rPr>
          <w:rFonts w:hAnsi="宋体" w:cs="宋体"/>
          <w:u w:val="single"/>
        </w:rPr>
      </w:pPr>
      <w:r w:rsidRPr="006F6FC3">
        <w:rPr>
          <w:rFonts w:hAnsi="宋体" w:cs="宋体" w:hint="eastAsia"/>
          <w:u w:val="single"/>
        </w:rPr>
        <w:t>最高人民法院办公厅秘书一处</w:t>
      </w:r>
      <w:r w:rsidR="006F6FC3">
        <w:rPr>
          <w:rFonts w:hAnsi="宋体" w:cs="宋体" w:hint="eastAsia"/>
          <w:u w:val="single"/>
        </w:rPr>
        <w:t xml:space="preserve">                                 </w:t>
      </w:r>
      <w:r w:rsidR="00AA164E">
        <w:rPr>
          <w:rFonts w:hAnsi="宋体" w:cs="宋体" w:hint="eastAsia"/>
          <w:u w:val="single"/>
        </w:rPr>
        <w:t>2017</w:t>
      </w:r>
      <w:r w:rsidRPr="006F6FC3">
        <w:rPr>
          <w:rFonts w:hAnsi="宋体" w:cs="宋体" w:hint="eastAsia"/>
          <w:u w:val="single"/>
        </w:rPr>
        <w:t>年</w:t>
      </w:r>
      <w:r w:rsidR="005B4F92">
        <w:rPr>
          <w:rFonts w:hAnsi="宋体" w:cs="宋体" w:hint="eastAsia"/>
          <w:u w:val="single"/>
        </w:rPr>
        <w:t>7</w:t>
      </w:r>
      <w:r w:rsidRPr="006F6FC3">
        <w:rPr>
          <w:rFonts w:hAnsi="宋体" w:cs="宋体" w:hint="eastAsia"/>
          <w:u w:val="single"/>
        </w:rPr>
        <w:t>月</w:t>
      </w:r>
      <w:r w:rsidR="005B4F92">
        <w:rPr>
          <w:rFonts w:hAnsi="宋体" w:cs="宋体" w:hint="eastAsia"/>
          <w:u w:val="single"/>
        </w:rPr>
        <w:t>21</w:t>
      </w:r>
      <w:r w:rsidRPr="006F6FC3">
        <w:rPr>
          <w:rFonts w:hAnsi="宋体" w:cs="宋体" w:hint="eastAsia"/>
          <w:u w:val="single"/>
        </w:rPr>
        <w:t>日印发</w:t>
      </w:r>
    </w:p>
    <w:sectPr w:rsidR="00233F94" w:rsidRPr="006F6FC3" w:rsidSect="005C1972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BC4" w:rsidRDefault="00655BC4">
      <w:r>
        <w:separator/>
      </w:r>
    </w:p>
  </w:endnote>
  <w:endnote w:type="continuationSeparator" w:id="1">
    <w:p w:rsidR="00655BC4" w:rsidRDefault="00655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1E" w:rsidRDefault="00A6085A" w:rsidP="000A67EC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23C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C1E" w:rsidRDefault="00823C1E" w:rsidP="00233F9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1E" w:rsidRDefault="00A6085A" w:rsidP="000A67EC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23C1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4F92">
      <w:rPr>
        <w:rStyle w:val="a5"/>
        <w:noProof/>
      </w:rPr>
      <w:t>1</w:t>
    </w:r>
    <w:r>
      <w:rPr>
        <w:rStyle w:val="a5"/>
      </w:rPr>
      <w:fldChar w:fldCharType="end"/>
    </w:r>
  </w:p>
  <w:p w:rsidR="00823C1E" w:rsidRDefault="00823C1E" w:rsidP="00BD7A1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BC4" w:rsidRDefault="00655BC4">
      <w:r>
        <w:separator/>
      </w:r>
    </w:p>
  </w:footnote>
  <w:footnote w:type="continuationSeparator" w:id="1">
    <w:p w:rsidR="00655BC4" w:rsidRDefault="00655B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31045"/>
    <w:multiLevelType w:val="hybridMultilevel"/>
    <w:tmpl w:val="04B4CEC0"/>
    <w:lvl w:ilvl="0" w:tplc="53F41230">
      <w:start w:val="1"/>
      <w:numFmt w:val="japaneseCounting"/>
      <w:lvlText w:val="第%1条"/>
      <w:lvlJc w:val="left"/>
      <w:pPr>
        <w:ind w:left="1648" w:hanging="1080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6CF01168"/>
    <w:multiLevelType w:val="hybridMultilevel"/>
    <w:tmpl w:val="464E9590"/>
    <w:lvl w:ilvl="0" w:tplc="ED4C0A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C55"/>
    <w:rsid w:val="000051BA"/>
    <w:rsid w:val="00007DC9"/>
    <w:rsid w:val="000246CF"/>
    <w:rsid w:val="00031791"/>
    <w:rsid w:val="00041639"/>
    <w:rsid w:val="00046FD0"/>
    <w:rsid w:val="00060A39"/>
    <w:rsid w:val="00060B3A"/>
    <w:rsid w:val="000720A0"/>
    <w:rsid w:val="00092662"/>
    <w:rsid w:val="00093500"/>
    <w:rsid w:val="00094871"/>
    <w:rsid w:val="000A67EC"/>
    <w:rsid w:val="000D1BAB"/>
    <w:rsid w:val="000E5187"/>
    <w:rsid w:val="000E56CF"/>
    <w:rsid w:val="000E6D88"/>
    <w:rsid w:val="000F2196"/>
    <w:rsid w:val="00106D59"/>
    <w:rsid w:val="001211C7"/>
    <w:rsid w:val="00125415"/>
    <w:rsid w:val="00141FB6"/>
    <w:rsid w:val="00156266"/>
    <w:rsid w:val="0016489F"/>
    <w:rsid w:val="0016665A"/>
    <w:rsid w:val="001A00EE"/>
    <w:rsid w:val="001B131A"/>
    <w:rsid w:val="001D410F"/>
    <w:rsid w:val="001D4E14"/>
    <w:rsid w:val="001E1AB1"/>
    <w:rsid w:val="001E1E3C"/>
    <w:rsid w:val="002064F7"/>
    <w:rsid w:val="00206B2B"/>
    <w:rsid w:val="0021638E"/>
    <w:rsid w:val="00220494"/>
    <w:rsid w:val="0023259F"/>
    <w:rsid w:val="00233F94"/>
    <w:rsid w:val="00235183"/>
    <w:rsid w:val="002428F9"/>
    <w:rsid w:val="002671B1"/>
    <w:rsid w:val="00271C80"/>
    <w:rsid w:val="002A0E27"/>
    <w:rsid w:val="002A0E47"/>
    <w:rsid w:val="002A1765"/>
    <w:rsid w:val="002A7E25"/>
    <w:rsid w:val="002B5E8C"/>
    <w:rsid w:val="002C11D2"/>
    <w:rsid w:val="002C76F9"/>
    <w:rsid w:val="002D6C55"/>
    <w:rsid w:val="002E52C2"/>
    <w:rsid w:val="00313AEE"/>
    <w:rsid w:val="00334544"/>
    <w:rsid w:val="003407E4"/>
    <w:rsid w:val="00342C41"/>
    <w:rsid w:val="00356973"/>
    <w:rsid w:val="00357579"/>
    <w:rsid w:val="00375B77"/>
    <w:rsid w:val="00384827"/>
    <w:rsid w:val="003854B1"/>
    <w:rsid w:val="003871CA"/>
    <w:rsid w:val="003902DE"/>
    <w:rsid w:val="00390825"/>
    <w:rsid w:val="00394561"/>
    <w:rsid w:val="003D731E"/>
    <w:rsid w:val="003E737D"/>
    <w:rsid w:val="003F534F"/>
    <w:rsid w:val="00422EA0"/>
    <w:rsid w:val="00424C9C"/>
    <w:rsid w:val="00432CA7"/>
    <w:rsid w:val="004358E6"/>
    <w:rsid w:val="00440B14"/>
    <w:rsid w:val="00447D9F"/>
    <w:rsid w:val="00454D12"/>
    <w:rsid w:val="004724D5"/>
    <w:rsid w:val="004745A3"/>
    <w:rsid w:val="0048272B"/>
    <w:rsid w:val="004A69A0"/>
    <w:rsid w:val="004B7D8C"/>
    <w:rsid w:val="004C569C"/>
    <w:rsid w:val="004F5158"/>
    <w:rsid w:val="00506C84"/>
    <w:rsid w:val="005142A1"/>
    <w:rsid w:val="005433C2"/>
    <w:rsid w:val="005502F2"/>
    <w:rsid w:val="005608E9"/>
    <w:rsid w:val="00562083"/>
    <w:rsid w:val="00566FA4"/>
    <w:rsid w:val="0058350A"/>
    <w:rsid w:val="00594376"/>
    <w:rsid w:val="005A56F6"/>
    <w:rsid w:val="005B4F92"/>
    <w:rsid w:val="005C1972"/>
    <w:rsid w:val="005C1BB7"/>
    <w:rsid w:val="005D3469"/>
    <w:rsid w:val="005E2A4A"/>
    <w:rsid w:val="005F1B3D"/>
    <w:rsid w:val="00602816"/>
    <w:rsid w:val="00604ACB"/>
    <w:rsid w:val="00606C5B"/>
    <w:rsid w:val="006178C3"/>
    <w:rsid w:val="00621BAF"/>
    <w:rsid w:val="0062410E"/>
    <w:rsid w:val="00626CE8"/>
    <w:rsid w:val="00655BC4"/>
    <w:rsid w:val="00661621"/>
    <w:rsid w:val="0068140B"/>
    <w:rsid w:val="00685825"/>
    <w:rsid w:val="006E1FF4"/>
    <w:rsid w:val="006F6FC3"/>
    <w:rsid w:val="00715180"/>
    <w:rsid w:val="00720A73"/>
    <w:rsid w:val="00724377"/>
    <w:rsid w:val="007276B4"/>
    <w:rsid w:val="00744556"/>
    <w:rsid w:val="00745D25"/>
    <w:rsid w:val="007506EE"/>
    <w:rsid w:val="0075447F"/>
    <w:rsid w:val="00754A2D"/>
    <w:rsid w:val="00767F68"/>
    <w:rsid w:val="0077490A"/>
    <w:rsid w:val="007775EF"/>
    <w:rsid w:val="0079669A"/>
    <w:rsid w:val="007A51E0"/>
    <w:rsid w:val="007A6544"/>
    <w:rsid w:val="007C01D1"/>
    <w:rsid w:val="007C5705"/>
    <w:rsid w:val="00823C1E"/>
    <w:rsid w:val="00826D77"/>
    <w:rsid w:val="008701AB"/>
    <w:rsid w:val="0087139A"/>
    <w:rsid w:val="008802DB"/>
    <w:rsid w:val="00890F76"/>
    <w:rsid w:val="0089274E"/>
    <w:rsid w:val="008A08FA"/>
    <w:rsid w:val="008E70E5"/>
    <w:rsid w:val="008F5238"/>
    <w:rsid w:val="008F7723"/>
    <w:rsid w:val="009007EC"/>
    <w:rsid w:val="00904BC8"/>
    <w:rsid w:val="0097410F"/>
    <w:rsid w:val="0097704C"/>
    <w:rsid w:val="00986E71"/>
    <w:rsid w:val="009942EB"/>
    <w:rsid w:val="009A1862"/>
    <w:rsid w:val="009A78E1"/>
    <w:rsid w:val="009B548C"/>
    <w:rsid w:val="009D18B6"/>
    <w:rsid w:val="009E6F62"/>
    <w:rsid w:val="009E7F86"/>
    <w:rsid w:val="009F1030"/>
    <w:rsid w:val="00A02039"/>
    <w:rsid w:val="00A04229"/>
    <w:rsid w:val="00A20EDD"/>
    <w:rsid w:val="00A212C7"/>
    <w:rsid w:val="00A35D41"/>
    <w:rsid w:val="00A40953"/>
    <w:rsid w:val="00A425BC"/>
    <w:rsid w:val="00A459E3"/>
    <w:rsid w:val="00A571FE"/>
    <w:rsid w:val="00A6085A"/>
    <w:rsid w:val="00A636AF"/>
    <w:rsid w:val="00A64325"/>
    <w:rsid w:val="00A962CF"/>
    <w:rsid w:val="00AA03DB"/>
    <w:rsid w:val="00AA164E"/>
    <w:rsid w:val="00AA3B2D"/>
    <w:rsid w:val="00AA3B8A"/>
    <w:rsid w:val="00AB0D6D"/>
    <w:rsid w:val="00AB68DD"/>
    <w:rsid w:val="00AC2B0B"/>
    <w:rsid w:val="00AF6D19"/>
    <w:rsid w:val="00B018B8"/>
    <w:rsid w:val="00B1436F"/>
    <w:rsid w:val="00B25C4D"/>
    <w:rsid w:val="00B47F03"/>
    <w:rsid w:val="00B712AC"/>
    <w:rsid w:val="00B82084"/>
    <w:rsid w:val="00BA4F1B"/>
    <w:rsid w:val="00BB0936"/>
    <w:rsid w:val="00BB4808"/>
    <w:rsid w:val="00BD62E5"/>
    <w:rsid w:val="00BD715F"/>
    <w:rsid w:val="00BD7A11"/>
    <w:rsid w:val="00BE421E"/>
    <w:rsid w:val="00BE428E"/>
    <w:rsid w:val="00BF2167"/>
    <w:rsid w:val="00C03182"/>
    <w:rsid w:val="00C41CE2"/>
    <w:rsid w:val="00C53D36"/>
    <w:rsid w:val="00C57E0D"/>
    <w:rsid w:val="00C636EE"/>
    <w:rsid w:val="00C73C73"/>
    <w:rsid w:val="00C76A21"/>
    <w:rsid w:val="00CB05CD"/>
    <w:rsid w:val="00CB268F"/>
    <w:rsid w:val="00CD046D"/>
    <w:rsid w:val="00CD15F8"/>
    <w:rsid w:val="00CF5E94"/>
    <w:rsid w:val="00CF7BE1"/>
    <w:rsid w:val="00D21DEB"/>
    <w:rsid w:val="00D22601"/>
    <w:rsid w:val="00D3514F"/>
    <w:rsid w:val="00D6266A"/>
    <w:rsid w:val="00D97443"/>
    <w:rsid w:val="00DB3C8A"/>
    <w:rsid w:val="00DB5F18"/>
    <w:rsid w:val="00DC5F89"/>
    <w:rsid w:val="00DC74E4"/>
    <w:rsid w:val="00DD0C51"/>
    <w:rsid w:val="00E06E17"/>
    <w:rsid w:val="00E35402"/>
    <w:rsid w:val="00E379EC"/>
    <w:rsid w:val="00E42DA2"/>
    <w:rsid w:val="00E47E0D"/>
    <w:rsid w:val="00E526C3"/>
    <w:rsid w:val="00E854B0"/>
    <w:rsid w:val="00E9403C"/>
    <w:rsid w:val="00E956E5"/>
    <w:rsid w:val="00E95DF8"/>
    <w:rsid w:val="00E97496"/>
    <w:rsid w:val="00EB642C"/>
    <w:rsid w:val="00EE4190"/>
    <w:rsid w:val="00F01156"/>
    <w:rsid w:val="00F11389"/>
    <w:rsid w:val="00F11CAA"/>
    <w:rsid w:val="00F14865"/>
    <w:rsid w:val="00F3114F"/>
    <w:rsid w:val="00F3147A"/>
    <w:rsid w:val="00F31FF1"/>
    <w:rsid w:val="00F37571"/>
    <w:rsid w:val="00F44A15"/>
    <w:rsid w:val="00F4779A"/>
    <w:rsid w:val="00F51F0A"/>
    <w:rsid w:val="00F70562"/>
    <w:rsid w:val="00F744B5"/>
    <w:rsid w:val="00F845F5"/>
    <w:rsid w:val="00F865EA"/>
    <w:rsid w:val="00F90AF4"/>
    <w:rsid w:val="00FB46C7"/>
    <w:rsid w:val="00FD51B5"/>
    <w:rsid w:val="00FD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1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2D6C55"/>
    <w:rPr>
      <w:rFonts w:ascii="宋体" w:hAnsi="Courier New" w:cs="Courier New"/>
      <w:szCs w:val="21"/>
    </w:rPr>
  </w:style>
  <w:style w:type="paragraph" w:customStyle="1" w:styleId="ParaCharCharCharCharCharCharChar">
    <w:name w:val="默认段落字体 Para Char Char Char Char Char Char Char"/>
    <w:basedOn w:val="a"/>
    <w:rsid w:val="004F5158"/>
  </w:style>
  <w:style w:type="paragraph" w:styleId="a4">
    <w:name w:val="footer"/>
    <w:basedOn w:val="a"/>
    <w:rsid w:val="00233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33F94"/>
  </w:style>
  <w:style w:type="paragraph" w:styleId="a6">
    <w:name w:val="header"/>
    <w:basedOn w:val="a"/>
    <w:link w:val="Char0"/>
    <w:rsid w:val="00F11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F11389"/>
    <w:rPr>
      <w:kern w:val="2"/>
      <w:sz w:val="18"/>
      <w:szCs w:val="18"/>
    </w:rPr>
  </w:style>
  <w:style w:type="paragraph" w:styleId="a7">
    <w:name w:val="Balloon Text"/>
    <w:basedOn w:val="a"/>
    <w:link w:val="Char1"/>
    <w:rsid w:val="005C1972"/>
    <w:rPr>
      <w:sz w:val="18"/>
      <w:szCs w:val="18"/>
    </w:rPr>
  </w:style>
  <w:style w:type="character" w:customStyle="1" w:styleId="Char1">
    <w:name w:val="批注框文本 Char"/>
    <w:basedOn w:val="a0"/>
    <w:link w:val="a7"/>
    <w:rsid w:val="005C1972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uiPriority w:val="99"/>
    <w:rsid w:val="005C1972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570C7-535E-402B-9889-8F6D608C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529</Words>
  <Characters>3021</Characters>
  <Application>Microsoft Office Word</Application>
  <DocSecurity>0</DocSecurity>
  <Lines>25</Lines>
  <Paragraphs>7</Paragraphs>
  <ScaleCrop>false</ScaleCrop>
  <Company>Lenovo (Beijing) Limited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最高人民法院、最高人民检察院关于废止1980年1月1日至1997年6月30日期间制发的部分司法解释和司法解释性质文件的决定》已于2012年11月19日由最高人民法院审判委员会第1560次会议、2012年12月19日由最高人民检察院第十一届检察委员会第83次会议通过，现予公布，自2013年1月18日起施行</dc:title>
  <dc:creator>Lenovo User</dc:creator>
  <cp:lastModifiedBy>pc</cp:lastModifiedBy>
  <cp:revision>3</cp:revision>
  <cp:lastPrinted>2014-04-03T09:04:00Z</cp:lastPrinted>
  <dcterms:created xsi:type="dcterms:W3CDTF">2017-07-21T07:03:00Z</dcterms:created>
  <dcterms:modified xsi:type="dcterms:W3CDTF">2017-07-21T07:11:00Z</dcterms:modified>
</cp:coreProperties>
</file>