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742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天全县人民检察院</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公开时间：2022年9月23日</w:t>
      </w:r>
    </w:p>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2021年度部门决算情况说明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11</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13</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17</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17</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19</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19</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19</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21</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24</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第五部分附表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pStyle w:val="10"/>
        <w:adjustRightInd w:val="0"/>
        <w:snapToGrid w:val="0"/>
        <w:spacing w:before="0"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32</w:t>
      </w:r>
    </w:p>
    <w:p>
      <w:pPr>
        <w:widowControl/>
        <w:spacing w:line="560" w:lineRule="exact"/>
        <w:jc w:val="center"/>
        <w:rPr>
          <w:rStyle w:val="25"/>
          <w:rFonts w:ascii="方正小标宋简体" w:hAnsi="黑体" w:eastAsia="方正小标宋简体"/>
          <w:b w:val="0"/>
        </w:rPr>
      </w:pPr>
      <w:bookmarkStart w:id="12" w:name="_Toc15396599"/>
      <w:bookmarkStart w:id="13" w:name="_Toc15377196"/>
      <w:r>
        <w:rPr>
          <w:rFonts w:ascii="仿宋" w:hAnsi="仿宋" w:eastAsia="仿宋"/>
          <w:b/>
          <w:sz w:val="24"/>
        </w:rPr>
        <w:br w:type="page"/>
      </w:r>
      <w:r>
        <w:rPr>
          <w:rFonts w:hint="eastAsia" w:ascii="方正小标宋简体" w:hAnsi="黑体" w:eastAsia="方正小标宋简体"/>
          <w:sz w:val="44"/>
          <w:szCs w:val="44"/>
        </w:rPr>
        <w:t xml:space="preserve">第一部分 </w:t>
      </w:r>
      <w:r>
        <w:rPr>
          <w:rStyle w:val="25"/>
          <w:rFonts w:hint="eastAsia" w:ascii="方正小标宋简体" w:hAnsi="黑体" w:eastAsia="方正小标宋简体"/>
          <w:b w:val="0"/>
        </w:rPr>
        <w:t>部门概况</w:t>
      </w:r>
      <w:bookmarkEnd w:id="12"/>
      <w:bookmarkEnd w:id="13"/>
      <w:bookmarkStart w:id="14" w:name="_Toc15396600"/>
      <w:bookmarkStart w:id="15" w:name="_Toc15377197"/>
    </w:p>
    <w:p>
      <w:pPr>
        <w:widowControl/>
        <w:spacing w:line="560" w:lineRule="exact"/>
        <w:jc w:val="center"/>
        <w:rPr>
          <w:rStyle w:val="25"/>
          <w:rFonts w:ascii="方正小标宋简体" w:hAnsi="黑体" w:eastAsia="方正小标宋简体"/>
          <w:b w:val="0"/>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一、基本职能及主要工作</w:t>
      </w:r>
      <w:bookmarkEnd w:id="14"/>
      <w:bookmarkEnd w:id="15"/>
    </w:p>
    <w:p>
      <w:pPr>
        <w:pStyle w:val="2"/>
        <w:adjustRightInd w:val="0"/>
        <w:snapToGrid w:val="0"/>
        <w:spacing w:beforeLines="0" w:line="560" w:lineRule="exact"/>
        <w:ind w:firstLine="640" w:firstLineChars="200"/>
        <w:outlineLvl w:val="2"/>
        <w:rPr>
          <w:rFonts w:ascii="楷体" w:hAnsi="楷体" w:eastAsia="楷体"/>
          <w:bCs/>
          <w:sz w:val="32"/>
          <w:szCs w:val="32"/>
        </w:rPr>
      </w:pPr>
      <w:bookmarkStart w:id="16" w:name="_Toc15377198"/>
      <w:bookmarkStart w:id="17" w:name="_Toc15378445"/>
      <w:r>
        <w:rPr>
          <w:rFonts w:hint="eastAsia" w:ascii="楷体" w:hAnsi="楷体" w:eastAsia="楷体"/>
          <w:bCs/>
          <w:sz w:val="32"/>
          <w:szCs w:val="32"/>
        </w:rPr>
        <w:t>（一）主要职能</w:t>
      </w:r>
    </w:p>
    <w:bookmarkEnd w:id="16"/>
    <w:bookmarkEnd w:id="17"/>
    <w:p>
      <w:pPr>
        <w:pStyle w:val="2"/>
        <w:adjustRightInd w:val="0"/>
        <w:snapToGrid w:val="0"/>
        <w:spacing w:beforeLines="0" w:line="560" w:lineRule="exact"/>
        <w:ind w:firstLine="640" w:firstLineChars="200"/>
        <w:outlineLvl w:val="2"/>
        <w:rPr>
          <w:rFonts w:hAnsi="仿宋"/>
          <w:color w:val="000000"/>
          <w:sz w:val="32"/>
          <w:szCs w:val="32"/>
        </w:rPr>
      </w:pPr>
      <w:bookmarkStart w:id="18" w:name="_Toc15377199"/>
      <w:bookmarkStart w:id="19" w:name="_Toc15378446"/>
      <w:r>
        <w:rPr>
          <w:rFonts w:hint="eastAsia" w:hAnsi="仿宋"/>
          <w:color w:val="000000"/>
          <w:sz w:val="32"/>
          <w:szCs w:val="32"/>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w:t>
      </w:r>
    </w:p>
    <w:p>
      <w:pPr>
        <w:pStyle w:val="2"/>
        <w:adjustRightInd w:val="0"/>
        <w:snapToGrid w:val="0"/>
        <w:spacing w:beforeLines="0" w:line="560" w:lineRule="exact"/>
        <w:ind w:firstLine="640" w:firstLineChars="200"/>
        <w:outlineLvl w:val="2"/>
        <w:rPr>
          <w:rFonts w:ascii="楷体" w:hAnsi="楷体" w:eastAsia="楷体"/>
          <w:bCs/>
          <w:sz w:val="32"/>
          <w:szCs w:val="32"/>
        </w:rPr>
      </w:pPr>
      <w:r>
        <w:rPr>
          <w:rFonts w:hint="eastAsia" w:ascii="楷体" w:hAnsi="楷体" w:eastAsia="楷体"/>
          <w:bCs/>
          <w:sz w:val="32"/>
          <w:szCs w:val="32"/>
        </w:rPr>
        <w:t>（二）</w:t>
      </w:r>
      <w:r>
        <w:rPr>
          <w:rFonts w:ascii="楷体" w:hAnsi="楷体" w:eastAsia="楷体"/>
          <w:bCs/>
          <w:sz w:val="32"/>
          <w:szCs w:val="32"/>
        </w:rPr>
        <w:t>20</w:t>
      </w:r>
      <w:r>
        <w:rPr>
          <w:rFonts w:hint="eastAsia" w:ascii="楷体" w:hAnsi="楷体" w:eastAsia="楷体"/>
          <w:bCs/>
          <w:sz w:val="32"/>
          <w:szCs w:val="32"/>
        </w:rPr>
        <w:t>21年重点工作完成情况</w:t>
      </w:r>
      <w:bookmarkEnd w:id="18"/>
      <w:bookmarkEnd w:id="19"/>
    </w:p>
    <w:p>
      <w:pPr>
        <w:pStyle w:val="2"/>
        <w:adjustRightInd w:val="0"/>
        <w:snapToGrid w:val="0"/>
        <w:spacing w:beforeLines="0" w:line="560" w:lineRule="exact"/>
        <w:ind w:firstLine="640" w:firstLineChars="200"/>
        <w:outlineLvl w:val="2"/>
        <w:rPr>
          <w:rFonts w:hAnsi="仿宋"/>
          <w:color w:val="000000"/>
          <w:sz w:val="32"/>
          <w:szCs w:val="32"/>
        </w:rPr>
      </w:pPr>
      <w:r>
        <w:rPr>
          <w:rFonts w:hAnsi="仿宋"/>
          <w:color w:val="000000"/>
          <w:sz w:val="32"/>
          <w:szCs w:val="32"/>
        </w:rPr>
        <w:t>2021年，天全县人民检察</w:t>
      </w:r>
      <w:r>
        <w:rPr>
          <w:rFonts w:hint="eastAsia" w:hAnsi="仿宋"/>
          <w:color w:val="000000"/>
          <w:sz w:val="32"/>
          <w:szCs w:val="32"/>
        </w:rPr>
        <w:t>院在县委、市检察院的坚强领导下，坚持以习近平新时代中国特色社会主义思想为指导，深入学习贯彻习近平法治思想和习近平总书记“七一”重要讲话精神，紧紧围绕《中共中央关于加强新时代检察机关法律监督工作的意见》，以高度的政治自觉、法治自觉、检察自觉担当作为，忠实履行法律监督职责，持续推进“四大检察”“十大业务”全面协调充分发展，为建设生态经济强县提供有力法治保障，各项工作取得新进展。</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一年来，共办理各类案件322件499人，同比分别增长34%和123%。其中：受理审查逮捕43件119人，审查起诉143件228人。获得“四川政法先锋”等多项荣誉称号，14个集体和17名个人获得县级以上表彰奖励；检察工作获得省部级领导肯定批示2次、市厅级领导批示1次、县“四大班子”主要领导批示7次。</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1.围绕党委中心工作，以检察服务助推长治久安</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依法保障民营经济。结合检察职能，延伸法律服务经济发展触角，在</w:t>
      </w:r>
      <w:r>
        <w:rPr>
          <w:rFonts w:hAnsi="仿宋"/>
          <w:color w:val="000000"/>
          <w:sz w:val="32"/>
          <w:szCs w:val="32"/>
        </w:rPr>
        <w:t>12309检察服务中心</w:t>
      </w:r>
      <w:r>
        <w:rPr>
          <w:rFonts w:hint="eastAsia" w:hAnsi="仿宋"/>
          <w:color w:val="000000"/>
          <w:sz w:val="32"/>
          <w:szCs w:val="32"/>
        </w:rPr>
        <w:t>开设接待民营企业窗口“绿色通道”。将辖区内采矿业、建筑业、农副产品加工业、农林牧渔业、住宿餐饮业、交通运输业作为重点对象，深入推进点对点“订单式”普法工作，工作经验被省检察院向全省推广。深入开展检企共建，组织检察官走进民营企业调研、</w:t>
      </w:r>
      <w:r>
        <w:rPr>
          <w:rFonts w:hAnsi="仿宋"/>
          <w:color w:val="000000"/>
          <w:sz w:val="32"/>
          <w:szCs w:val="32"/>
        </w:rPr>
        <w:t>宣传</w:t>
      </w:r>
      <w:r>
        <w:rPr>
          <w:rFonts w:hint="eastAsia" w:hAnsi="仿宋"/>
          <w:color w:val="000000"/>
          <w:sz w:val="32"/>
          <w:szCs w:val="32"/>
        </w:rPr>
        <w:t>8</w:t>
      </w:r>
      <w:r>
        <w:rPr>
          <w:rFonts w:hAnsi="仿宋"/>
          <w:color w:val="000000"/>
          <w:sz w:val="32"/>
          <w:szCs w:val="32"/>
        </w:rPr>
        <w:t>次，</w:t>
      </w:r>
      <w:r>
        <w:rPr>
          <w:rFonts w:hint="eastAsia" w:hAnsi="仿宋"/>
          <w:color w:val="000000"/>
          <w:sz w:val="32"/>
          <w:szCs w:val="32"/>
        </w:rPr>
        <w:t>邀请</w:t>
      </w:r>
      <w:r>
        <w:rPr>
          <w:rFonts w:hAnsi="仿宋"/>
          <w:color w:val="000000"/>
          <w:sz w:val="32"/>
          <w:szCs w:val="32"/>
        </w:rPr>
        <w:t>民营企业家走进检察机关参观、座谈</w:t>
      </w:r>
      <w:r>
        <w:rPr>
          <w:rFonts w:hint="eastAsia" w:hAnsi="仿宋"/>
          <w:color w:val="000000"/>
          <w:sz w:val="32"/>
          <w:szCs w:val="32"/>
        </w:rPr>
        <w:t>4</w:t>
      </w:r>
      <w:r>
        <w:rPr>
          <w:rFonts w:hAnsi="仿宋"/>
          <w:color w:val="000000"/>
          <w:sz w:val="32"/>
          <w:szCs w:val="32"/>
        </w:rPr>
        <w:t>次，</w:t>
      </w:r>
      <w:r>
        <w:rPr>
          <w:rFonts w:hint="eastAsia" w:hAnsi="仿宋"/>
          <w:color w:val="000000"/>
          <w:sz w:val="32"/>
          <w:szCs w:val="32"/>
        </w:rPr>
        <w:t>积极</w:t>
      </w:r>
      <w:r>
        <w:rPr>
          <w:rFonts w:hAnsi="仿宋"/>
          <w:color w:val="000000"/>
          <w:sz w:val="32"/>
          <w:szCs w:val="32"/>
        </w:rPr>
        <w:t>为企业排忧解难。</w:t>
      </w:r>
      <w:r>
        <w:rPr>
          <w:rFonts w:hint="eastAsia" w:hAnsi="仿宋"/>
          <w:color w:val="000000"/>
          <w:sz w:val="32"/>
          <w:szCs w:val="32"/>
        </w:rPr>
        <w:t>成功办理首例涉民营企业案件检察听证会，及时消除企业、群众和社会各界对司法办案的疑虑，在保障当事人合法申诉权的基础上，真正达到定纷止争、案结事了人和。</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持续深化社会治理。建立检调对接机制，积极化解社会矛盾，充分运用视频接访、12309平台等，受理控告、申诉等各类信访案件21件，信访总量同比增长62%。</w:t>
      </w:r>
      <w:r>
        <w:rPr>
          <w:rFonts w:hAnsi="仿宋"/>
          <w:color w:val="000000"/>
          <w:sz w:val="32"/>
          <w:szCs w:val="32"/>
        </w:rPr>
        <w:t>组织开展违法违规“减假暂”案件全面摸排，对天全县内2018年以来的假释、暂予监外执行情况进行全面排查，发现不当情形13件，提出书面监督意见5件、口头监督建议8件。</w:t>
      </w:r>
      <w:r>
        <w:rPr>
          <w:rFonts w:hint="eastAsia" w:hAnsi="仿宋"/>
          <w:color w:val="000000"/>
          <w:sz w:val="32"/>
          <w:szCs w:val="32"/>
        </w:rPr>
        <w:t>依法办理雅安市水投公司原党委书记高某某受贿等职务犯罪案件4件4人，营造风清气正的政务环境。</w:t>
      </w:r>
      <w:r>
        <w:rPr>
          <w:rFonts w:hAnsi="仿宋"/>
          <w:color w:val="000000"/>
          <w:sz w:val="32"/>
          <w:szCs w:val="32"/>
        </w:rPr>
        <w:t>加强与政法委、财政等部门对接，建立健全困难群众司法救助联动机制。</w:t>
      </w:r>
      <w:r>
        <w:rPr>
          <w:rFonts w:hint="eastAsia" w:hAnsi="仿宋"/>
          <w:color w:val="000000"/>
          <w:sz w:val="32"/>
          <w:szCs w:val="32"/>
        </w:rPr>
        <w:t>办理司法救助</w:t>
      </w:r>
      <w:r>
        <w:rPr>
          <w:rFonts w:hAnsi="仿宋"/>
          <w:color w:val="000000"/>
          <w:sz w:val="32"/>
          <w:szCs w:val="32"/>
        </w:rPr>
        <w:t>3</w:t>
      </w:r>
      <w:r>
        <w:rPr>
          <w:rFonts w:hint="eastAsia" w:hAnsi="仿宋"/>
          <w:color w:val="000000"/>
          <w:sz w:val="32"/>
          <w:szCs w:val="32"/>
        </w:rPr>
        <w:t>件</w:t>
      </w:r>
      <w:r>
        <w:rPr>
          <w:rFonts w:hAnsi="仿宋"/>
          <w:color w:val="000000"/>
          <w:sz w:val="32"/>
          <w:szCs w:val="32"/>
        </w:rPr>
        <w:t>8</w:t>
      </w:r>
      <w:r>
        <w:rPr>
          <w:rFonts w:hint="eastAsia" w:hAnsi="仿宋"/>
          <w:color w:val="000000"/>
          <w:sz w:val="32"/>
          <w:szCs w:val="32"/>
        </w:rPr>
        <w:t>人，发放救助金</w:t>
      </w:r>
      <w:r>
        <w:rPr>
          <w:rFonts w:hAnsi="仿宋"/>
          <w:color w:val="000000"/>
          <w:sz w:val="32"/>
          <w:szCs w:val="32"/>
        </w:rPr>
        <w:t>2.5</w:t>
      </w:r>
      <w:r>
        <w:rPr>
          <w:rFonts w:hint="eastAsia" w:hAnsi="仿宋"/>
          <w:color w:val="000000"/>
          <w:sz w:val="32"/>
          <w:szCs w:val="32"/>
        </w:rPr>
        <w:t>万元。</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全力守护生态安全。依法严惩占用农地、非法采矿等犯罪，起诉7件17人。</w:t>
      </w:r>
      <w:r>
        <w:rPr>
          <w:rFonts w:hAnsi="仿宋"/>
          <w:color w:val="000000"/>
          <w:sz w:val="32"/>
          <w:szCs w:val="32"/>
        </w:rPr>
        <w:t>联合开展跨区域破坏环境资源犯罪专项立案监督，发出诉前检察建议1件，提起非法捕捞水产品刑事附带民事公益诉讼2件</w:t>
      </w:r>
      <w:r>
        <w:rPr>
          <w:rFonts w:hint="eastAsia" w:hAnsi="仿宋"/>
          <w:color w:val="000000"/>
          <w:sz w:val="32"/>
          <w:szCs w:val="32"/>
        </w:rPr>
        <w:t>。</w:t>
      </w:r>
      <w:r>
        <w:rPr>
          <w:rFonts w:hAnsi="仿宋"/>
          <w:color w:val="000000"/>
          <w:sz w:val="32"/>
          <w:szCs w:val="32"/>
        </w:rPr>
        <w:t>开展“守护熊猫家园，共建生态文明”</w:t>
      </w:r>
      <w:r>
        <w:rPr>
          <w:rFonts w:hint="eastAsia" w:hAnsi="仿宋"/>
          <w:color w:val="000000"/>
          <w:sz w:val="32"/>
          <w:szCs w:val="32"/>
        </w:rPr>
        <w:t>法治宣传</w:t>
      </w:r>
      <w:r>
        <w:rPr>
          <w:rFonts w:hAnsi="仿宋"/>
          <w:color w:val="000000"/>
          <w:sz w:val="32"/>
          <w:szCs w:val="32"/>
        </w:rPr>
        <w:t>活动</w:t>
      </w:r>
      <w:r>
        <w:rPr>
          <w:rFonts w:hint="eastAsia" w:hAnsi="仿宋"/>
          <w:color w:val="000000"/>
          <w:sz w:val="32"/>
          <w:szCs w:val="32"/>
        </w:rPr>
        <w:t>，</w:t>
      </w:r>
      <w:r>
        <w:rPr>
          <w:rFonts w:hAnsi="仿宋"/>
          <w:color w:val="000000"/>
          <w:sz w:val="32"/>
          <w:szCs w:val="32"/>
        </w:rPr>
        <w:t>通过展板、相声、快板、有奖问答等丰富多彩的形式向</w:t>
      </w:r>
      <w:r>
        <w:rPr>
          <w:rFonts w:hint="eastAsia" w:hAnsi="仿宋"/>
          <w:color w:val="000000"/>
          <w:sz w:val="32"/>
          <w:szCs w:val="32"/>
        </w:rPr>
        <w:t>7</w:t>
      </w:r>
      <w:r>
        <w:rPr>
          <w:rFonts w:hAnsi="仿宋"/>
          <w:color w:val="000000"/>
          <w:sz w:val="32"/>
          <w:szCs w:val="32"/>
        </w:rPr>
        <w:t>00余名师生宣传了《未成年人保护法》的相关知识和“绿水青山就是金山银山”的环保理念。</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2.履行法定检察职责，以检察监督维护公平正义</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刑事检察持续有力。充分发挥批捕、起诉等职能，依法打击各类刑事犯罪。共批准逮捕43件119人，提起公诉89件142人，不起诉36件40人。深入开展“断卡”行动，依法对刘某、冯某某等人帮助他人实施电信网络诈骗犯罪等2件8人提起公诉。依法对彭某某、李某某采用工业硫磺熏蒸20吨“毒笋子”案提起公诉，被最高检评为“涉农检察典型案例”，入选《涉农检察指导性案例实务指引》丛书。监督公安机关立案2件、撤案8件，侦查活动违法书面提出纠正8件、审判活动违法书面提出纠正3件，检察长列席法院审判委员会2件。纠正监管场所刑罚执行违法12件，开展羁押必要性审查12件。刑事案件“案件比”1:1.08。</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民事行政检察更加精准。贯彻落实民法典，完善民事行政多元化监督格局。受理各类民事生效裁判、调解2件，提出再审检察建议1件，终结审查1件。办理民事审判程序监督和执行活动监督22件。</w:t>
      </w:r>
      <w:r>
        <w:rPr>
          <w:rFonts w:hAnsi="仿宋"/>
          <w:color w:val="000000"/>
          <w:sz w:val="32"/>
          <w:szCs w:val="32"/>
        </w:rPr>
        <w:t>支持张某某等农民工讨薪提起诉讼12件，帮助追讨工资</w:t>
      </w:r>
      <w:r>
        <w:rPr>
          <w:rFonts w:hint="eastAsia" w:hAnsi="仿宋"/>
          <w:color w:val="000000"/>
          <w:sz w:val="32"/>
          <w:szCs w:val="32"/>
        </w:rPr>
        <w:t>24</w:t>
      </w:r>
      <w:r>
        <w:rPr>
          <w:rFonts w:hAnsi="仿宋"/>
          <w:color w:val="000000"/>
          <w:sz w:val="32"/>
          <w:szCs w:val="32"/>
        </w:rPr>
        <w:t>余万元，切实维护弱势群体合法权益。联合公安、应急管理等部门，深入广场、社区、乡村、林区、校园等重点场所开展森林防火法治宣传</w:t>
      </w:r>
      <w:r>
        <w:rPr>
          <w:rFonts w:hint="eastAsia" w:hAnsi="仿宋"/>
          <w:color w:val="000000"/>
          <w:sz w:val="32"/>
          <w:szCs w:val="32"/>
        </w:rPr>
        <w:t>10余</w:t>
      </w:r>
      <w:r>
        <w:rPr>
          <w:rFonts w:hAnsi="仿宋"/>
          <w:color w:val="000000"/>
          <w:sz w:val="32"/>
          <w:szCs w:val="32"/>
        </w:rPr>
        <w:t>次，发放宣传单</w:t>
      </w:r>
      <w:r>
        <w:rPr>
          <w:rFonts w:hint="eastAsia" w:hAnsi="仿宋"/>
          <w:color w:val="000000"/>
          <w:sz w:val="32"/>
          <w:szCs w:val="32"/>
        </w:rPr>
        <w:t>2</w:t>
      </w:r>
      <w:r>
        <w:rPr>
          <w:rFonts w:hAnsi="仿宋"/>
          <w:color w:val="000000"/>
          <w:sz w:val="32"/>
          <w:szCs w:val="32"/>
        </w:rPr>
        <w:t>000余份。主动对接县森林防灭火指挥部办公室调取证据材料，找准全县森林防火薄弱点、隐患点，发出检察建议10份，督促有关乡镇和部门依法履职。</w:t>
      </w:r>
    </w:p>
    <w:p>
      <w:pPr>
        <w:pStyle w:val="2"/>
        <w:adjustRightInd w:val="0"/>
        <w:snapToGrid w:val="0"/>
        <w:spacing w:beforeLines="0" w:line="560" w:lineRule="exact"/>
        <w:ind w:firstLine="640" w:firstLineChars="200"/>
        <w:rPr>
          <w:rFonts w:hAnsi="仿宋"/>
          <w:color w:val="000000"/>
          <w:sz w:val="32"/>
          <w:szCs w:val="32"/>
        </w:rPr>
      </w:pPr>
      <w:r>
        <w:rPr>
          <w:rFonts w:hint="eastAsia" w:hAnsi="仿宋"/>
          <w:color w:val="000000"/>
          <w:sz w:val="32"/>
          <w:szCs w:val="32"/>
        </w:rPr>
        <w:t>公益诉讼检察有序推进。加强与行政机关、公益组织的协作配合，建立大熊猫国家公园、鸟类保护公益诉讼工作站2个，进一步拓宽公益诉讼线索渠道。聚焦污染防治、国土资源、食品药品安全等领域，公益诉讼立案50件，发出诉前检察建议43件，发出公告8份，提起刑事附带民事公益诉讼2件。开展窨井盖问题专项治理，与住建、交通等部门召开联席会议，向行政执法部门发出检察建议1份。</w:t>
      </w:r>
      <w:r>
        <w:rPr>
          <w:rFonts w:hAnsi="仿宋"/>
          <w:color w:val="000000"/>
          <w:sz w:val="32"/>
          <w:szCs w:val="32"/>
        </w:rPr>
        <w:t>开展题为“分类在指尖，文明在心间”垃圾分类宣传活动，向老百姓发放垃圾分类图片及现场讲解垃圾分类宣传活动。积极参与砂石专项行动和长江流域“十年禁捕”专项监督活动，提前介入砂石领域犯罪2件，批捕</w:t>
      </w:r>
      <w:r>
        <w:rPr>
          <w:rFonts w:hint="eastAsia" w:hAnsi="仿宋"/>
          <w:color w:val="000000"/>
          <w:sz w:val="32"/>
          <w:szCs w:val="32"/>
        </w:rPr>
        <w:t>2</w:t>
      </w:r>
      <w:r>
        <w:rPr>
          <w:rFonts w:hAnsi="仿宋"/>
          <w:color w:val="000000"/>
          <w:sz w:val="32"/>
          <w:szCs w:val="32"/>
        </w:rPr>
        <w:t>件</w:t>
      </w:r>
      <w:r>
        <w:rPr>
          <w:rFonts w:hint="eastAsia" w:hAnsi="仿宋"/>
          <w:color w:val="000000"/>
          <w:sz w:val="32"/>
          <w:szCs w:val="32"/>
        </w:rPr>
        <w:t>4</w:t>
      </w:r>
      <w:r>
        <w:rPr>
          <w:rFonts w:hAnsi="仿宋"/>
          <w:color w:val="000000"/>
          <w:sz w:val="32"/>
          <w:szCs w:val="32"/>
        </w:rPr>
        <w:t>人。探索推行“非法捕捞现场庭审＋增殖放流＋综合治理”工作机制，较好地修复了违法行为损害的水生态环境。</w:t>
      </w:r>
      <w:r>
        <w:rPr>
          <w:rFonts w:hint="eastAsia" w:hAnsi="仿宋"/>
          <w:color w:val="000000"/>
          <w:sz w:val="32"/>
          <w:szCs w:val="32"/>
        </w:rPr>
        <w:t>严厉打击动物园假借“合法外衣”实施危害野生动物犯罪行为，获得最高检张军检察长批示。</w:t>
      </w:r>
    </w:p>
    <w:p>
      <w:pPr>
        <w:pStyle w:val="2"/>
        <w:adjustRightInd w:val="0"/>
        <w:snapToGrid w:val="0"/>
        <w:spacing w:beforeLines="0" w:line="560" w:lineRule="exact"/>
        <w:ind w:firstLine="640" w:firstLineChars="200"/>
        <w:rPr>
          <w:rFonts w:hAnsi="仿宋"/>
          <w:color w:val="000000"/>
          <w:sz w:val="32"/>
          <w:szCs w:val="32"/>
        </w:rPr>
      </w:pPr>
      <w:r>
        <w:rPr>
          <w:rFonts w:hint="eastAsia" w:hAnsi="仿宋"/>
          <w:color w:val="000000"/>
          <w:sz w:val="32"/>
          <w:szCs w:val="32"/>
        </w:rPr>
        <w:t>未成年人司法保护不断加强。首次运用督促监护令，督促家长履行管教义务，将12名未成年人监护人纳入强制亲职教育。开展“检爱同行，共护未来”专项行动，从严从快批捕3名特定监护人性侵未成年人的犯罪嫌疑人。切实履行检察官担任法治副校长工作职责，讲好“开学第一课”，通过检察官说法、知识竞赛、有奖抢答、观看教育短片等形式，开展法治宣传4次，发放宣传册500余份，覆盖师生1000余人。</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3.全面加强自身建设，以检察建设提高执法水平</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突出抓好政治建设。</w:t>
      </w:r>
      <w:r>
        <w:rPr>
          <w:rFonts w:hAnsi="仿宋"/>
          <w:color w:val="000000"/>
          <w:sz w:val="32"/>
          <w:szCs w:val="32"/>
        </w:rPr>
        <w:t>深入学习贯彻习近平新时代中国特色社会主义思想</w:t>
      </w:r>
      <w:r>
        <w:rPr>
          <w:rFonts w:hint="eastAsia" w:hAnsi="仿宋"/>
          <w:color w:val="000000"/>
          <w:sz w:val="32"/>
          <w:szCs w:val="32"/>
        </w:rPr>
        <w:t>，学思践悟习近平</w:t>
      </w:r>
      <w:r>
        <w:rPr>
          <w:rFonts w:hAnsi="仿宋"/>
          <w:color w:val="000000"/>
          <w:sz w:val="32"/>
          <w:szCs w:val="32"/>
        </w:rPr>
        <w:t>法治思想，引导干警</w:t>
      </w:r>
      <w:r>
        <w:rPr>
          <w:rFonts w:hint="eastAsia" w:hAnsi="仿宋"/>
          <w:color w:val="000000"/>
          <w:sz w:val="32"/>
          <w:szCs w:val="32"/>
        </w:rPr>
        <w:t>严守党的政治纪律和政治规矩</w:t>
      </w:r>
      <w:r>
        <w:rPr>
          <w:rFonts w:hAnsi="仿宋"/>
          <w:color w:val="000000"/>
          <w:sz w:val="32"/>
          <w:szCs w:val="32"/>
        </w:rPr>
        <w:t>，</w:t>
      </w:r>
      <w:r>
        <w:rPr>
          <w:rFonts w:hint="eastAsia" w:hAnsi="仿宋"/>
          <w:color w:val="000000"/>
          <w:sz w:val="32"/>
          <w:szCs w:val="32"/>
        </w:rPr>
        <w:t>深入贯彻《中国共产党政法工作条例》、《中国共产党</w:t>
      </w:r>
      <w:r>
        <w:rPr>
          <w:rFonts w:hAnsi="仿宋"/>
          <w:color w:val="000000"/>
          <w:sz w:val="32"/>
          <w:szCs w:val="32"/>
        </w:rPr>
        <w:t>重大事项</w:t>
      </w:r>
      <w:r>
        <w:rPr>
          <w:rFonts w:hint="eastAsia" w:hAnsi="仿宋"/>
          <w:color w:val="000000"/>
          <w:sz w:val="32"/>
          <w:szCs w:val="32"/>
        </w:rPr>
        <w:t>请示报告条例》。</w:t>
      </w:r>
      <w:r>
        <w:rPr>
          <w:rFonts w:hAnsi="仿宋"/>
          <w:color w:val="000000"/>
          <w:sz w:val="32"/>
          <w:szCs w:val="32"/>
        </w:rPr>
        <w:t>坚持以高度的政治自觉、有力的措施落实意识形态工作</w:t>
      </w:r>
      <w:r>
        <w:rPr>
          <w:rFonts w:hint="eastAsia" w:hAnsi="仿宋"/>
          <w:color w:val="000000"/>
          <w:sz w:val="32"/>
          <w:szCs w:val="32"/>
        </w:rPr>
        <w:t>，增强“四个意识”，坚定“四个自信”，做到“两个维护”，确保党对检察工作的绝对领导，向县委、县委政法委和市检察院请示报告重大事项6次。</w:t>
      </w:r>
      <w:r>
        <w:rPr>
          <w:rFonts w:hAnsi="仿宋"/>
          <w:color w:val="000000"/>
          <w:sz w:val="32"/>
          <w:szCs w:val="32"/>
        </w:rPr>
        <w:t>组织党组会、中心组学习会、全院干警会开展政治理论学习</w:t>
      </w:r>
      <w:r>
        <w:rPr>
          <w:rFonts w:hint="eastAsia" w:hAnsi="仿宋"/>
          <w:color w:val="000000"/>
          <w:sz w:val="32"/>
          <w:szCs w:val="32"/>
        </w:rPr>
        <w:t>30</w:t>
      </w:r>
      <w:r>
        <w:rPr>
          <w:rFonts w:hAnsi="仿宋"/>
          <w:color w:val="000000"/>
          <w:sz w:val="32"/>
          <w:szCs w:val="32"/>
        </w:rPr>
        <w:t>余次。</w:t>
      </w:r>
      <w:r>
        <w:rPr>
          <w:rFonts w:hint="eastAsia" w:hAnsi="仿宋"/>
          <w:color w:val="000000"/>
          <w:sz w:val="32"/>
          <w:szCs w:val="32"/>
        </w:rPr>
        <w:t>坚</w:t>
      </w:r>
      <w:r>
        <w:rPr>
          <w:rFonts w:hAnsi="仿宋"/>
          <w:color w:val="000000"/>
          <w:sz w:val="32"/>
          <w:szCs w:val="32"/>
        </w:rPr>
        <w:t>持民主集中制，不断增强党组决策的科学性，夯实党支部建设，</w:t>
      </w:r>
      <w:r>
        <w:rPr>
          <w:rFonts w:hint="eastAsia" w:hAnsi="仿宋"/>
          <w:color w:val="000000"/>
          <w:sz w:val="32"/>
          <w:szCs w:val="32"/>
        </w:rPr>
        <w:t>强化党建、业务统筹融合发展，以党建带队建、以党建促业务，打造“同心圆”党建品牌，先后被市委、县委表彰为“先进基层党组织”</w:t>
      </w:r>
      <w:r>
        <w:rPr>
          <w:rFonts w:hAnsi="仿宋"/>
          <w:color w:val="000000"/>
          <w:sz w:val="32"/>
          <w:szCs w:val="32"/>
        </w:rPr>
        <w:t>。</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持续推进作风建设。压紧压实全面从严治党主体责任，自觉接受纪委监委和派驻纪检监察组监督，进一步加强对检察权运行的监督制约，强化对员额检察官和主管人财物的重点部门、重点岗位人员的监督，充分运用反面典型案例，开展以案示警、以案促改、以案促防，引导检察人员知敬畏、存戒惧、守底线。严格落实“三个规定”，如实记录报告过问或干预、插手检察办案等重大事项29条，筑牢防范人情案、关系案、金钱案的制度“堤坝”。扎实推进政法队伍教育整顿，建立“6+5”顽疾整治体系，开展全覆盖谈心谈话、填报自查表5轮，查摆问题130</w:t>
      </w:r>
      <w:r>
        <w:rPr>
          <w:rFonts w:hAnsi="仿宋"/>
          <w:color w:val="000000"/>
          <w:sz w:val="32"/>
          <w:szCs w:val="32"/>
        </w:rPr>
        <w:t>个，按照</w:t>
      </w:r>
      <w:r>
        <w:rPr>
          <w:rFonts w:hint="eastAsia" w:hAnsi="仿宋"/>
          <w:color w:val="000000"/>
          <w:sz w:val="32"/>
          <w:szCs w:val="32"/>
        </w:rPr>
        <w:t>“</w:t>
      </w:r>
      <w:r>
        <w:rPr>
          <w:rFonts w:hAnsi="仿宋"/>
          <w:color w:val="000000"/>
          <w:sz w:val="32"/>
          <w:szCs w:val="32"/>
        </w:rPr>
        <w:t>清单制+查改制</w:t>
      </w:r>
      <w:r>
        <w:rPr>
          <w:rFonts w:hint="eastAsia" w:hAnsi="仿宋"/>
          <w:color w:val="000000"/>
          <w:sz w:val="32"/>
          <w:szCs w:val="32"/>
        </w:rPr>
        <w:t>”</w:t>
      </w:r>
      <w:r>
        <w:rPr>
          <w:rFonts w:hAnsi="仿宋"/>
          <w:color w:val="000000"/>
          <w:sz w:val="32"/>
          <w:szCs w:val="32"/>
        </w:rPr>
        <w:t>全面整改，建立完善机关管理、队伍建设、业务工作等规章制度42项，固化整改成果</w:t>
      </w:r>
      <w:r>
        <w:rPr>
          <w:rFonts w:hint="eastAsia" w:hAnsi="仿宋"/>
          <w:color w:val="000000"/>
          <w:sz w:val="32"/>
          <w:szCs w:val="32"/>
        </w:rPr>
        <w:t>。</w:t>
      </w:r>
    </w:p>
    <w:p>
      <w:pPr>
        <w:pStyle w:val="2"/>
        <w:adjustRightInd w:val="0"/>
        <w:snapToGrid w:val="0"/>
        <w:spacing w:beforeLines="0" w:line="560" w:lineRule="exact"/>
        <w:ind w:firstLine="640" w:firstLineChars="200"/>
        <w:rPr>
          <w:rFonts w:hAnsi="仿宋"/>
          <w:color w:val="000000"/>
          <w:sz w:val="32"/>
          <w:szCs w:val="32"/>
        </w:rPr>
      </w:pPr>
      <w:r>
        <w:rPr>
          <w:rFonts w:hint="eastAsia" w:hAnsi="仿宋"/>
          <w:color w:val="000000"/>
          <w:sz w:val="32"/>
          <w:szCs w:val="32"/>
        </w:rPr>
        <w:t>全面提升素质能力。全力推进基层检察院建设，积极争取县委、政府支持，基本完成基础设施改造、检察文化打造工程。</w:t>
      </w:r>
      <w:r>
        <w:rPr>
          <w:rFonts w:hAnsi="仿宋"/>
          <w:color w:val="000000"/>
          <w:sz w:val="32"/>
          <w:szCs w:val="32"/>
        </w:rPr>
        <w:t>推行绩效推进会每月例会制度</w:t>
      </w:r>
      <w:r>
        <w:rPr>
          <w:rFonts w:hint="eastAsia" w:hAnsi="仿宋"/>
          <w:color w:val="000000"/>
          <w:sz w:val="32"/>
          <w:szCs w:val="32"/>
        </w:rPr>
        <w:t>，</w:t>
      </w:r>
      <w:r>
        <w:rPr>
          <w:rFonts w:hAnsi="仿宋"/>
          <w:color w:val="000000"/>
          <w:sz w:val="32"/>
          <w:szCs w:val="32"/>
        </w:rPr>
        <w:t>层层传导压力，加快工作节奏。建立院领导</w:t>
      </w:r>
      <w:r>
        <w:rPr>
          <w:rFonts w:hint="eastAsia" w:hAnsi="仿宋"/>
          <w:color w:val="000000"/>
          <w:sz w:val="32"/>
          <w:szCs w:val="32"/>
        </w:rPr>
        <w:t>“</w:t>
      </w:r>
      <w:r>
        <w:rPr>
          <w:rFonts w:hAnsi="仿宋"/>
          <w:color w:val="000000"/>
          <w:sz w:val="32"/>
          <w:szCs w:val="32"/>
        </w:rPr>
        <w:t>AB角</w:t>
      </w:r>
      <w:r>
        <w:rPr>
          <w:rFonts w:hint="eastAsia" w:hAnsi="仿宋"/>
          <w:color w:val="000000"/>
          <w:sz w:val="32"/>
          <w:szCs w:val="32"/>
        </w:rPr>
        <w:t>”</w:t>
      </w:r>
      <w:r>
        <w:rPr>
          <w:rFonts w:hAnsi="仿宋"/>
          <w:color w:val="000000"/>
          <w:sz w:val="32"/>
          <w:szCs w:val="32"/>
        </w:rPr>
        <w:t>工作补位、分工协作机制和内设机构负责人轮岗机制，设定员额检察官年度办案数量指标，确保院领导及各部门职能明确、职责清晰，促进人岗相适，提升办案质量和效率</w:t>
      </w:r>
      <w:r>
        <w:rPr>
          <w:rFonts w:hint="eastAsia" w:hAnsi="仿宋"/>
          <w:color w:val="000000"/>
          <w:sz w:val="32"/>
          <w:szCs w:val="32"/>
        </w:rPr>
        <w:t>。1名干警家庭荣获四川省“最美家庭”荣誉称号。荣获全省检察机关扫黑除恶工作先进集体称号。荣获四川省文明委继续保留“文明单位”称号。荣获</w:t>
      </w:r>
      <w:r>
        <w:rPr>
          <w:rFonts w:hAnsi="仿宋"/>
          <w:color w:val="000000"/>
          <w:sz w:val="32"/>
          <w:szCs w:val="32"/>
        </w:rPr>
        <w:t>，</w:t>
      </w:r>
      <w:r>
        <w:rPr>
          <w:rFonts w:hint="eastAsia" w:hAnsi="仿宋"/>
          <w:color w:val="000000"/>
          <w:sz w:val="32"/>
          <w:szCs w:val="32"/>
        </w:rPr>
        <w:t>四川省“</w:t>
      </w:r>
      <w:r>
        <w:rPr>
          <w:rFonts w:hAnsi="仿宋"/>
          <w:color w:val="000000"/>
          <w:sz w:val="32"/>
          <w:szCs w:val="32"/>
        </w:rPr>
        <w:t>四川政法先锋</w:t>
      </w:r>
      <w:r>
        <w:rPr>
          <w:rFonts w:hint="eastAsia" w:hAnsi="仿宋"/>
          <w:color w:val="000000"/>
          <w:sz w:val="32"/>
          <w:szCs w:val="32"/>
        </w:rPr>
        <w:t>”称号。荣获雅安市“市级节水型”单位等荣誉称号。</w:t>
      </w:r>
    </w:p>
    <w:p>
      <w:pPr>
        <w:pStyle w:val="2"/>
        <w:adjustRightInd w:val="0"/>
        <w:snapToGrid w:val="0"/>
        <w:spacing w:beforeLines="0" w:line="560" w:lineRule="exact"/>
        <w:ind w:firstLine="640" w:firstLineChars="200"/>
        <w:outlineLvl w:val="2"/>
        <w:rPr>
          <w:rFonts w:hAnsi="仿宋"/>
          <w:color w:val="000000"/>
          <w:sz w:val="32"/>
          <w:szCs w:val="32"/>
        </w:rPr>
      </w:pPr>
      <w:r>
        <w:rPr>
          <w:rFonts w:hint="eastAsia" w:hAnsi="仿宋"/>
          <w:color w:val="000000"/>
          <w:sz w:val="32"/>
          <w:szCs w:val="32"/>
        </w:rPr>
        <w:t>自觉接受各界监督。强化司法规范化建设。邀请人大代表、政协委员、人民监督员参与检察开放日、公开听证、庭审观摩、开门纳谏等活动100余人次。深化检务公开，让检察权在阳光在运行，发布案件程序性信息249条、生效法律文书148份，开展案件质量评查7次，评查案件34件。利用统一业务应用系统监控案件87件，发送期限预警通知48次、流程监控通报19期，接待律师58人次。加强对外宣传工作，进一步提升检察工作影响力，在市级以上媒体刊发稿件83篇。</w:t>
      </w:r>
      <w:bookmarkStart w:id="20" w:name="_Toc15396601"/>
      <w:bookmarkStart w:id="21" w:name="_Toc15377200"/>
    </w:p>
    <w:p>
      <w:pPr>
        <w:pStyle w:val="2"/>
        <w:adjustRightInd w:val="0"/>
        <w:snapToGrid w:val="0"/>
        <w:spacing w:beforeLines="0" w:line="560" w:lineRule="exact"/>
        <w:ind w:firstLine="640" w:firstLineChars="200"/>
        <w:rPr>
          <w:rStyle w:val="26"/>
          <w:rFonts w:ascii="黑体" w:hAnsi="黑体" w:eastAsia="黑体" w:cs="Times New Roman"/>
          <w:b w:val="0"/>
          <w:bCs w:val="0"/>
          <w:color w:val="000000"/>
          <w:kern w:val="0"/>
        </w:rPr>
      </w:pPr>
      <w:r>
        <w:rPr>
          <w:rFonts w:hint="eastAsia" w:ascii="黑体" w:hAnsi="黑体" w:eastAsia="黑体"/>
          <w:sz w:val="32"/>
          <w:szCs w:val="32"/>
        </w:rPr>
        <w:t>二、机</w:t>
      </w:r>
      <w:r>
        <w:rPr>
          <w:rStyle w:val="26"/>
          <w:rFonts w:hint="eastAsia" w:ascii="黑体" w:hAnsi="黑体" w:eastAsia="黑体"/>
          <w:b w:val="0"/>
        </w:rPr>
        <w:t>构设置</w:t>
      </w:r>
      <w:bookmarkEnd w:id="20"/>
      <w:bookmarkEnd w:id="21"/>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天全县人民检察院下属二级单位1个，其中行政单位0个，参照公务员法管理的事业单位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个，其他事业单位1个。</w:t>
      </w:r>
    </w:p>
    <w:p>
      <w:pPr>
        <w:pStyle w:val="2"/>
        <w:adjustRightInd w:val="0"/>
        <w:snapToGrid w:val="0"/>
        <w:spacing w:beforeLines="0" w:line="560" w:lineRule="exact"/>
        <w:ind w:firstLine="640" w:firstLineChars="200"/>
        <w:rPr>
          <w:rFonts w:hAnsi="仿宋_GB2312" w:cs="仿宋_GB2312"/>
          <w:sz w:val="32"/>
          <w:szCs w:val="32"/>
        </w:rPr>
      </w:pPr>
      <w:r>
        <w:rPr>
          <w:rFonts w:hint="eastAsia" w:hAnsi="仿宋_GB2312" w:cs="仿宋_GB2312"/>
          <w:sz w:val="32"/>
          <w:szCs w:val="32"/>
        </w:rPr>
        <w:t>纳入天全县人民检察院2021年度部门决算编制范围的二级预算单位包括：天全县人民检察院检务保障中心。</w:t>
      </w:r>
    </w:p>
    <w:p>
      <w:pPr>
        <w:spacing w:line="560" w:lineRule="exact"/>
        <w:jc w:val="center"/>
        <w:rPr>
          <w:rFonts w:ascii="方正小标宋简体" w:eastAsia="方正小标宋简体"/>
          <w:sz w:val="44"/>
          <w:szCs w:val="44"/>
        </w:rPr>
      </w:pPr>
      <w:r>
        <w:rPr>
          <w:rFonts w:ascii="仿宋" w:hAnsi="仿宋" w:eastAsia="仿宋"/>
          <w:sz w:val="32"/>
          <w:szCs w:val="32"/>
        </w:rPr>
        <w:br w:type="page"/>
      </w:r>
      <w:bookmarkStart w:id="22" w:name="_Toc15396602"/>
      <w:bookmarkStart w:id="23" w:name="_Toc15377204"/>
      <w:r>
        <w:rPr>
          <w:rFonts w:hint="eastAsia" w:ascii="方正小标宋简体" w:eastAsia="方正小标宋简体"/>
          <w:sz w:val="44"/>
          <w:szCs w:val="44"/>
        </w:rPr>
        <w:t>第二部分 2021年度部门决算情况说明</w:t>
      </w:r>
      <w:bookmarkEnd w:id="22"/>
      <w:bookmarkEnd w:id="23"/>
    </w:p>
    <w:p>
      <w:pPr>
        <w:spacing w:line="560" w:lineRule="exact"/>
      </w:pPr>
    </w:p>
    <w:p>
      <w:pPr>
        <w:pStyle w:val="24"/>
        <w:numPr>
          <w:ilvl w:val="0"/>
          <w:numId w:val="1"/>
        </w:numPr>
        <w:spacing w:line="56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6"/>
          <w:rFonts w:hint="eastAsia" w:ascii="黑体" w:hAnsi="黑体" w:eastAsia="黑体"/>
          <w:b w:val="0"/>
        </w:rPr>
        <w:t>入支出决算总体情况说明</w:t>
      </w:r>
      <w:bookmarkEnd w:id="24"/>
      <w:bookmarkEnd w:id="25"/>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入总计1021.15万元，与2020年相比增加223.90万元，增长28.08%。支出总计1021.15万元，与2020年相比增加223.90万元，增长28.08%。主要变动原因是按照最高检察院和省、市检察院工作要求，并经县委财经会、县政府常务会同意，于2021年开展基层检察院建设工作，加强“12309”检察服务中心、智能办案工作区、办案指挥中心、未成年人观护帮扶警示教育基地、视频会议室、检察宣告室、野生动物一体化保护协作中心建设等基础改造和功能完善，同步开展“智慧检务”和检察文化建设，不断夯实检察工作发展基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spacing w:before="93"/>
        <w:rPr>
          <w:rFonts w:ascii="仿宋" w:hAnsi="仿宋" w:eastAsia="仿宋"/>
          <w:sz w:val="32"/>
          <w:szCs w:val="32"/>
        </w:rPr>
      </w:pPr>
    </w:p>
    <w:p>
      <w:pPr>
        <w:pStyle w:val="2"/>
        <w:spacing w:before="93" w:line="560" w:lineRule="exact"/>
        <w:ind w:firstLine="640" w:firstLineChars="200"/>
        <w:rPr>
          <w:rStyle w:val="26"/>
          <w:rFonts w:ascii="黑体" w:hAnsi="黑体" w:eastAsia="黑体"/>
          <w:b w:val="0"/>
        </w:rPr>
      </w:pPr>
      <w:r>
        <w:rPr>
          <w:sz w:val="32"/>
          <w:szCs w:val="32"/>
        </w:rPr>
        <w:pict>
          <v:shape id="_x0000_s2051" o:spid="_x0000_s2051" o:spt="75" type="#_x0000_t75" style="position:absolute;left:0pt;margin-left:9.75pt;margin-top:3.6pt;height:184.45pt;width:440.65pt;mso-wrap-distance-bottom:0pt;mso-wrap-distance-left:9pt;mso-wrap-distance-right:9pt;mso-wrap-distance-top:0pt;z-index:251658240;mso-width-relative:page;mso-height-relative:page;" o:ole="t" filled="f" o:preferrelative="t" stroked="f" coordsize="21600,21600">
            <v:path/>
            <v:fill on="f" focussize="0,0"/>
            <v:stroke on="f" joinstyle="miter"/>
            <v:imagedata r:id="rId7" o:title=""/>
            <o:lock v:ext="edit" aspectratio="f"/>
            <w10:wrap type="square"/>
          </v:shape>
          <o:OLEObject Type="Embed" ProgID="MSGraph.Chart.8" ShapeID="_x0000_s2051" DrawAspect="Content" ObjectID="_1468075725" r:id="rId6">
            <o:LockedField>false</o:LockedField>
          </o:OLEObject>
        </w:pict>
      </w:r>
      <w:bookmarkStart w:id="26" w:name="_Toc15377206"/>
      <w:bookmarkStart w:id="27" w:name="_Toc15396604"/>
      <w:r>
        <w:rPr>
          <w:rFonts w:hint="eastAsia" w:ascii="黑体" w:hAnsi="黑体" w:eastAsia="黑体"/>
          <w:sz w:val="32"/>
          <w:szCs w:val="32"/>
        </w:rPr>
        <w:t>二、收</w:t>
      </w:r>
      <w:r>
        <w:rPr>
          <w:rStyle w:val="26"/>
          <w:rFonts w:hint="eastAsia" w:ascii="黑体" w:hAnsi="黑体" w:eastAsia="黑体"/>
          <w:b w:val="0"/>
        </w:rPr>
        <w:t>入决算情况说明</w:t>
      </w:r>
      <w:bookmarkEnd w:id="26"/>
      <w:bookmarkEnd w:id="27"/>
    </w:p>
    <w:p>
      <w:pPr>
        <w:spacing w:line="560" w:lineRule="exact"/>
        <w:ind w:firstLine="640" w:firstLineChars="20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21年本年收入合计861.66万元，其中：一般公共预算财政拨款收入861.66万元，占100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560" w:lineRule="exact"/>
        <w:ind w:firstLine="640" w:firstLineChars="200"/>
        <w:rPr>
          <w:rFonts w:ascii="仿宋_GB2312" w:eastAsia="仿宋_GB2312"/>
          <w:sz w:val="32"/>
          <w:szCs w:val="32"/>
        </w:rPr>
      </w:pPr>
    </w:p>
    <w:p>
      <w:pPr>
        <w:pStyle w:val="2"/>
        <w:spacing w:before="93" w:line="560" w:lineRule="exact"/>
      </w:pPr>
      <w:r>
        <w:rPr>
          <w:sz w:val="32"/>
          <w:szCs w:val="32"/>
        </w:rPr>
        <w:drawing>
          <wp:anchor distT="0" distB="0" distL="114935" distR="114935" simplePos="0" relativeHeight="251655168" behindDoc="0" locked="0" layoutInCell="1" allowOverlap="1">
            <wp:simplePos x="0" y="0"/>
            <wp:positionH relativeFrom="column">
              <wp:posOffset>538480</wp:posOffset>
            </wp:positionH>
            <wp:positionV relativeFrom="paragraph">
              <wp:posOffset>19685</wp:posOffset>
            </wp:positionV>
            <wp:extent cx="3800475" cy="1421765"/>
            <wp:effectExtent l="0" t="0" r="0" b="0"/>
            <wp:wrapSquare wrapText="bothSides"/>
            <wp:docPr id="1" name="对象 2"/>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line="560" w:lineRule="exact"/>
      </w:pPr>
    </w:p>
    <w:p>
      <w:pPr>
        <w:pStyle w:val="24"/>
        <w:spacing w:line="560" w:lineRule="exact"/>
        <w:ind w:firstLine="0" w:firstLineChars="0"/>
        <w:outlineLvl w:val="1"/>
        <w:rPr>
          <w:rFonts w:ascii="黑体" w:hAnsi="黑体" w:eastAsia="黑体"/>
          <w:sz w:val="32"/>
          <w:szCs w:val="32"/>
        </w:rPr>
      </w:pPr>
      <w:bookmarkStart w:id="28" w:name="_Toc15396605"/>
      <w:bookmarkStart w:id="29" w:name="_Toc15377207"/>
    </w:p>
    <w:p>
      <w:pPr>
        <w:pStyle w:val="24"/>
        <w:spacing w:line="560" w:lineRule="exact"/>
        <w:ind w:left="640" w:firstLine="0" w:firstLineChars="0"/>
        <w:outlineLvl w:val="1"/>
        <w:rPr>
          <w:rFonts w:ascii="黑体" w:hAnsi="黑体" w:eastAsia="黑体"/>
          <w:sz w:val="32"/>
          <w:szCs w:val="32"/>
        </w:rPr>
      </w:pPr>
    </w:p>
    <w:p>
      <w:pPr>
        <w:pStyle w:val="24"/>
        <w:spacing w:line="560" w:lineRule="exact"/>
        <w:ind w:left="640" w:firstLine="0" w:firstLineChars="0"/>
        <w:outlineLvl w:val="1"/>
        <w:rPr>
          <w:rStyle w:val="26"/>
          <w:rFonts w:ascii="黑体" w:hAnsi="黑体" w:eastAsia="黑体"/>
          <w:b w:val="0"/>
        </w:rPr>
      </w:pPr>
      <w:r>
        <w:rPr>
          <w:rFonts w:hint="eastAsia" w:ascii="黑体" w:hAnsi="黑体" w:eastAsia="黑体"/>
          <w:sz w:val="32"/>
          <w:szCs w:val="32"/>
        </w:rPr>
        <w:t>三、支</w:t>
      </w:r>
      <w:r>
        <w:rPr>
          <w:rStyle w:val="26"/>
          <w:rFonts w:hint="eastAsia" w:ascii="黑体" w:hAnsi="黑体" w:eastAsia="黑体"/>
          <w:b w:val="0"/>
        </w:rPr>
        <w:t>出决算情况说明</w:t>
      </w:r>
      <w:bookmarkEnd w:id="28"/>
      <w:bookmarkEnd w:id="29"/>
    </w:p>
    <w:p>
      <w:pPr>
        <w:spacing w:line="560" w:lineRule="exact"/>
        <w:ind w:firstLine="640" w:firstLineChars="200"/>
        <w:outlineLvl w:val="1"/>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21年本年支出合计1021.15万元，其中：基本支出634.10万元，占62</w:t>
      </w:r>
      <w:r>
        <w:rPr>
          <w:rFonts w:ascii="仿宋" w:hAnsi="仿宋" w:eastAsia="仿宋"/>
          <w:sz w:val="32"/>
          <w:szCs w:val="32"/>
        </w:rPr>
        <w:t>%</w:t>
      </w:r>
      <w:r>
        <w:rPr>
          <w:rFonts w:hint="eastAsia" w:ascii="仿宋" w:hAnsi="仿宋" w:eastAsia="仿宋"/>
          <w:sz w:val="32"/>
          <w:szCs w:val="32"/>
        </w:rPr>
        <w:t>；项目支出387.05万元，占38</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_GB2312" w:eastAsia="仿宋_GB2312"/>
          <w:color w:val="FF0000"/>
          <w:sz w:val="32"/>
          <w:szCs w:val="32"/>
        </w:rPr>
        <w:drawing>
          <wp:anchor distT="0" distB="0" distL="114300" distR="114300" simplePos="0" relativeHeight="251656192" behindDoc="1" locked="0" layoutInCell="1" allowOverlap="1">
            <wp:simplePos x="0" y="0"/>
            <wp:positionH relativeFrom="column">
              <wp:posOffset>133985</wp:posOffset>
            </wp:positionH>
            <wp:positionV relativeFrom="paragraph">
              <wp:posOffset>347345</wp:posOffset>
            </wp:positionV>
            <wp:extent cx="4778375" cy="1768475"/>
            <wp:effectExtent l="0" t="0" r="0" b="0"/>
            <wp:wrapTight wrapText="bothSides">
              <wp:wrapPolygon>
                <wp:start x="8956" y="2792"/>
                <wp:lineTo x="8956" y="11634"/>
                <wp:lineTo x="10075" y="13961"/>
                <wp:lineTo x="7492" y="13961"/>
                <wp:lineTo x="7147" y="14193"/>
                <wp:lineTo x="7147" y="16985"/>
                <wp:lineTo x="14209" y="16985"/>
                <wp:lineTo x="14381" y="14193"/>
                <wp:lineTo x="13950" y="13961"/>
                <wp:lineTo x="12745" y="11634"/>
                <wp:lineTo x="12659" y="2792"/>
                <wp:lineTo x="8956" y="2792"/>
              </wp:wrapPolygon>
            </wp:wrapTight>
            <wp:docPr id="6" name="对象 6"/>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sz w:val="32"/>
          <w:szCs w:val="32"/>
        </w:rPr>
        <w:t>（图3：支出决算结构图）（饼状图）</w:t>
      </w:r>
    </w:p>
    <w:p>
      <w:pPr>
        <w:spacing w:line="560" w:lineRule="exact"/>
        <w:ind w:firstLine="640" w:firstLineChars="200"/>
        <w:rPr>
          <w:rFonts w:ascii="仿宋_GB2312" w:eastAsia="仿宋_GB2312"/>
          <w:color w:val="FF0000"/>
          <w:sz w:val="32"/>
          <w:szCs w:val="32"/>
        </w:rPr>
      </w:pPr>
    </w:p>
    <w:p>
      <w:pPr>
        <w:spacing w:line="560" w:lineRule="exact"/>
        <w:ind w:firstLine="640" w:firstLineChars="200"/>
        <w:rPr>
          <w:rFonts w:ascii="仿宋_GB2312" w:eastAsia="仿宋_GB2312"/>
          <w:color w:val="FF0000"/>
          <w:sz w:val="32"/>
          <w:szCs w:val="32"/>
        </w:rPr>
      </w:pPr>
    </w:p>
    <w:p>
      <w:pPr>
        <w:spacing w:line="560" w:lineRule="exact"/>
        <w:ind w:firstLine="640" w:firstLineChars="200"/>
        <w:rPr>
          <w:rFonts w:ascii="仿宋_GB2312" w:eastAsia="仿宋_GB2312"/>
          <w:color w:val="FF0000"/>
          <w:sz w:val="32"/>
          <w:szCs w:val="32"/>
        </w:rPr>
      </w:pPr>
    </w:p>
    <w:p>
      <w:pPr>
        <w:spacing w:line="560" w:lineRule="exact"/>
        <w:rPr>
          <w:rFonts w:ascii="仿宋_GB2312" w:eastAsia="仿宋_GB2312"/>
          <w:color w:val="FF0000"/>
          <w:sz w:val="32"/>
          <w:szCs w:val="32"/>
        </w:rPr>
      </w:pPr>
    </w:p>
    <w:p>
      <w:pPr>
        <w:spacing w:line="56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pPr>
        <w:spacing w:line="560" w:lineRule="exact"/>
        <w:ind w:firstLine="640" w:firstLineChars="200"/>
        <w:rPr>
          <w:rFonts w:ascii="仿宋_GB2312" w:hAnsi="仿宋_GB2312" w:eastAsia="仿宋_GB2312" w:cs="仿宋_GB2312"/>
          <w:sz w:val="32"/>
          <w:szCs w:val="32"/>
        </w:rPr>
      </w:pPr>
      <w:r>
        <w:rPr>
          <w:rFonts w:hint="eastAsia" w:ascii="仿宋" w:hAnsi="仿宋" w:eastAsia="仿宋" w:cs="仿宋"/>
          <w:color w:val="000000"/>
          <w:sz w:val="32"/>
          <w:szCs w:val="32"/>
        </w:rPr>
        <w:t>2021年财政拨款收入总计861.66万元。与2020年相比,财政拨款收入增加132.41万元,增长18.16%。财政拨款支出总计1021.15万元,与2020年相比，财政拨款支出增加342.98万元,增长50.57%。主要变动原因是</w:t>
      </w:r>
      <w:r>
        <w:rPr>
          <w:rFonts w:hint="eastAsia" w:ascii="仿宋_GB2312" w:hAnsi="仿宋_GB2312" w:eastAsia="仿宋_GB2312" w:cs="仿宋_GB2312"/>
          <w:sz w:val="32"/>
          <w:szCs w:val="32"/>
        </w:rPr>
        <w:t>按照最高检察院和省、市检察院工作要求，并经县委财经会、县政府常务会同意，于2021年开展基层检察院建设工作，加强“12309”检察服务中心、智能办案工作区、办案指挥中心、未成年人观护帮扶警示教育基地、视频会议室、检察宣告室、野生动物一体化保护协作中心建设等基础改造和功能完善，同步开展“智慧检务”和检察文化建设，不断夯实检察工作发展基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560" w:lineRule="exact"/>
        <w:ind w:firstLine="640"/>
        <w:rPr>
          <w:rFonts w:ascii="仿宋" w:hAnsi="仿宋" w:eastAsia="仿宋"/>
          <w:b/>
          <w:sz w:val="32"/>
          <w:szCs w:val="32"/>
        </w:rPr>
      </w:pPr>
      <w:r>
        <w:rPr>
          <w:rFonts w:ascii="仿宋" w:hAnsi="仿宋" w:eastAsia="仿宋"/>
          <w:b/>
          <w:sz w:val="32"/>
          <w:szCs w:val="32"/>
        </w:rPr>
        <w:drawing>
          <wp:anchor distT="0" distB="0" distL="114300" distR="114300" simplePos="0" relativeHeight="251657216" behindDoc="1" locked="0" layoutInCell="1" allowOverlap="1">
            <wp:simplePos x="0" y="0"/>
            <wp:positionH relativeFrom="column">
              <wp:posOffset>208915</wp:posOffset>
            </wp:positionH>
            <wp:positionV relativeFrom="paragraph">
              <wp:posOffset>127635</wp:posOffset>
            </wp:positionV>
            <wp:extent cx="5521325" cy="2207260"/>
            <wp:effectExtent l="0" t="0" r="3175" b="0"/>
            <wp:wrapTight wrapText="bothSides">
              <wp:wrapPolygon>
                <wp:start x="15129" y="559"/>
                <wp:lineTo x="1565" y="746"/>
                <wp:lineTo x="1192" y="2237"/>
                <wp:lineTo x="2459" y="3542"/>
                <wp:lineTo x="1341" y="3915"/>
                <wp:lineTo x="1192" y="8016"/>
                <wp:lineTo x="1863" y="9507"/>
                <wp:lineTo x="2459" y="9507"/>
                <wp:lineTo x="1491" y="10253"/>
                <wp:lineTo x="1341" y="14727"/>
                <wp:lineTo x="1640" y="15473"/>
                <wp:lineTo x="2459" y="15473"/>
                <wp:lineTo x="1789" y="16964"/>
                <wp:lineTo x="1938" y="17337"/>
                <wp:lineTo x="10806" y="18456"/>
                <wp:lineTo x="3652" y="18456"/>
                <wp:lineTo x="3577" y="19201"/>
                <wp:lineTo x="3801" y="19388"/>
                <wp:lineTo x="17439" y="19388"/>
                <wp:lineTo x="17663" y="18642"/>
                <wp:lineTo x="10806" y="18456"/>
                <wp:lineTo x="18035" y="17337"/>
                <wp:lineTo x="18333" y="17151"/>
                <wp:lineTo x="17364" y="15473"/>
                <wp:lineTo x="18035" y="15473"/>
                <wp:lineTo x="21612" y="13049"/>
                <wp:lineTo x="21612" y="8575"/>
                <wp:lineTo x="21240" y="8389"/>
                <wp:lineTo x="17364" y="6525"/>
                <wp:lineTo x="18184" y="6525"/>
                <wp:lineTo x="18184" y="4101"/>
                <wp:lineTo x="17364" y="3542"/>
                <wp:lineTo x="17439" y="2796"/>
                <wp:lineTo x="17141" y="746"/>
                <wp:lineTo x="16917" y="559"/>
                <wp:lineTo x="15129" y="559"/>
              </wp:wrapPolygon>
            </wp:wrapTight>
            <wp:docPr id="7" name="对象 7"/>
            <wp:cNvGraphicFramePr>
              <a:graphicFrameLocks xmlns:a="http://schemas.openxmlformats.org/drawingml/2006/main" noChangeAspect="tru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60" w:lineRule="exact"/>
        <w:ind w:firstLine="640" w:firstLineChars="200"/>
        <w:outlineLvl w:val="1"/>
        <w:rPr>
          <w:rFonts w:ascii="黑体" w:hAnsi="黑体" w:eastAsia="黑体"/>
          <w:sz w:val="32"/>
          <w:szCs w:val="32"/>
        </w:rPr>
      </w:pPr>
      <w:bookmarkStart w:id="32" w:name="_Toc15377209"/>
      <w:bookmarkStart w:id="33" w:name="_Toc15396607"/>
    </w:p>
    <w:p>
      <w:pPr>
        <w:spacing w:line="560" w:lineRule="exact"/>
        <w:ind w:firstLine="640" w:firstLineChars="200"/>
        <w:outlineLvl w:val="1"/>
        <w:rPr>
          <w:rFonts w:ascii="黑体" w:hAnsi="黑体" w:eastAsia="黑体"/>
          <w:sz w:val="32"/>
          <w:szCs w:val="32"/>
        </w:rPr>
      </w:pPr>
    </w:p>
    <w:p>
      <w:pPr>
        <w:spacing w:line="560" w:lineRule="exact"/>
        <w:ind w:firstLine="640" w:firstLineChars="200"/>
        <w:outlineLvl w:val="1"/>
        <w:rPr>
          <w:rFonts w:ascii="黑体" w:hAnsi="黑体" w:eastAsia="黑体"/>
          <w:sz w:val="32"/>
          <w:szCs w:val="32"/>
        </w:rPr>
      </w:pPr>
    </w:p>
    <w:p>
      <w:pPr>
        <w:spacing w:line="560" w:lineRule="exact"/>
        <w:ind w:firstLine="640" w:firstLineChars="200"/>
        <w:outlineLvl w:val="1"/>
        <w:rPr>
          <w:rStyle w:val="26"/>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p>
    <w:p>
      <w:pPr>
        <w:spacing w:line="560" w:lineRule="exact"/>
        <w:ind w:firstLine="640" w:firstLineChars="200"/>
        <w:outlineLvl w:val="2"/>
        <w:rPr>
          <w:rFonts w:ascii="楷体" w:hAnsi="楷体" w:eastAsia="楷体" w:cs="仿宋_GB2312"/>
          <w:bCs/>
          <w:sz w:val="32"/>
          <w:szCs w:val="32"/>
        </w:rPr>
      </w:pPr>
      <w:bookmarkStart w:id="34" w:name="_Toc15377210"/>
      <w:r>
        <w:rPr>
          <w:rFonts w:hint="eastAsia" w:ascii="楷体" w:hAnsi="楷体" w:eastAsia="楷体" w:cs="仿宋_GB2312"/>
          <w:bCs/>
          <w:sz w:val="32"/>
          <w:szCs w:val="32"/>
        </w:rPr>
        <w:t>（一）一般公共预算财政拨款支出决算总体情况</w:t>
      </w:r>
      <w:bookmarkEnd w:id="34"/>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1021.15万元，占本年支出合计的100%。与2020年相比，一般公共预算财政拨款支出增加342.98万元，增长50.57%。按照最高检察院和省、市检察院工作要求，并经县委财经会、县政府常务会同意，于2021年开展基层检察院建设工作，加强“12309”检察服务中心、智能办案工作区、办案指挥中心、未成年人观护帮扶警示教育基地、视频会议室、检察宣告室、野生动物一体化保护协作中心建设等基础改造和功能完善，同步开展“智慧检务”和检察文化建设，不断夯实检察工作发展基础。</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spacing w:before="93"/>
        <w:rPr>
          <w:rFonts w:ascii="仿宋" w:hAnsi="仿宋" w:eastAsia="仿宋"/>
          <w:sz w:val="32"/>
          <w:szCs w:val="32"/>
        </w:rPr>
      </w:pPr>
      <w:r>
        <w:rPr>
          <w:rFonts w:ascii="仿宋" w:hAnsi="仿宋" w:eastAsia="仿宋"/>
          <w:sz w:val="32"/>
          <w:szCs w:val="32"/>
        </w:rPr>
        <w:pict>
          <v:shape id="_x0000_s2052" o:spid="_x0000_s2052" o:spt="75" type="#_x0000_t75" style="position:absolute;left:0pt;margin-left:67.7pt;margin-top:31.8pt;height:211.3pt;width:313.75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2" o:title=""/>
            <o:lock v:ext="edit" aspectratio="f"/>
            <w10:wrap type="square"/>
          </v:shape>
          <o:OLEObject Type="Embed" ProgID="MSGraph.Chart.8" ShapeID="_x0000_s2052" DrawAspect="Content" ObjectID="_1468075726" r:id="rId11">
            <o:LockedField>false</o:LockedField>
          </o:OLEObject>
        </w:pic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pPr>
    </w:p>
    <w:p>
      <w:pPr>
        <w:spacing w:line="560" w:lineRule="exact"/>
        <w:ind w:firstLine="640" w:firstLineChars="200"/>
        <w:outlineLvl w:val="2"/>
        <w:rPr>
          <w:rFonts w:ascii="楷体" w:hAnsi="楷体" w:eastAsia="楷体" w:cs="楷体"/>
          <w:bCs/>
          <w:sz w:val="32"/>
          <w:szCs w:val="32"/>
        </w:rPr>
      </w:pPr>
      <w:bookmarkStart w:id="35" w:name="_Toc15377211"/>
      <w:r>
        <w:rPr>
          <w:rFonts w:hint="eastAsia" w:ascii="楷体" w:hAnsi="楷体" w:eastAsia="楷体" w:cs="楷体"/>
          <w:bCs/>
          <w:sz w:val="32"/>
          <w:szCs w:val="32"/>
        </w:rPr>
        <w:t>（二）一般公共预算财政拨款支出决算结构情况</w:t>
      </w:r>
      <w:bookmarkEnd w:id="35"/>
    </w:p>
    <w:p>
      <w:pPr>
        <w:spacing w:line="560" w:lineRule="exact"/>
        <w:ind w:firstLine="640"/>
        <w:rPr>
          <w:rFonts w:ascii="仿宋" w:hAnsi="仿宋" w:eastAsia="仿宋"/>
          <w:sz w:val="32"/>
          <w:szCs w:val="32"/>
        </w:rPr>
      </w:pPr>
      <w:r>
        <w:rPr>
          <w:rFonts w:hint="eastAsia" w:ascii="仿宋_GB2312" w:hAnsi="仿宋_GB2312" w:eastAsia="仿宋_GB2312" w:cs="仿宋_GB2312"/>
          <w:sz w:val="32"/>
          <w:szCs w:val="32"/>
        </w:rPr>
        <w:t>2021年一般公共预算财政拨款支出1021.15万元，主要用于以下方面:</w:t>
      </w:r>
      <w:r>
        <w:rPr>
          <w:rFonts w:hint="eastAsia" w:ascii="仿宋_GB2312" w:hAnsi="仿宋_GB2312" w:eastAsia="仿宋_GB2312" w:cs="仿宋_GB2312"/>
          <w:b/>
          <w:sz w:val="32"/>
          <w:szCs w:val="32"/>
        </w:rPr>
        <w:t>一般公共服务（类）</w:t>
      </w:r>
      <w:r>
        <w:rPr>
          <w:rFonts w:hint="eastAsia" w:ascii="仿宋_GB2312" w:hAnsi="仿宋_GB2312" w:eastAsia="仿宋_GB2312" w:cs="仿宋_GB2312"/>
          <w:sz w:val="32"/>
          <w:szCs w:val="32"/>
        </w:rPr>
        <w:t>支出2.42万元，占0.2%；</w:t>
      </w:r>
      <w:r>
        <w:rPr>
          <w:rFonts w:hint="eastAsia" w:ascii="仿宋_GB2312" w:hAnsi="仿宋_GB2312" w:eastAsia="仿宋_GB2312" w:cs="仿宋_GB2312"/>
          <w:b/>
          <w:bCs/>
          <w:sz w:val="32"/>
          <w:szCs w:val="32"/>
        </w:rPr>
        <w:t>公共安全（类）</w:t>
      </w:r>
      <w:r>
        <w:rPr>
          <w:rFonts w:hint="eastAsia" w:ascii="仿宋_GB2312" w:hAnsi="仿宋_GB2312" w:eastAsia="仿宋_GB2312" w:cs="仿宋_GB2312"/>
          <w:sz w:val="32"/>
          <w:szCs w:val="32"/>
        </w:rPr>
        <w:t>支出898.05万元，占87.94%；</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支出59.23万元，占5.8%；</w:t>
      </w:r>
      <w:r>
        <w:rPr>
          <w:rFonts w:hint="eastAsia" w:ascii="仿宋_GB2312" w:hAnsi="仿宋_GB2312" w:eastAsia="仿宋_GB2312" w:cs="仿宋_GB2312"/>
          <w:b/>
          <w:bCs/>
          <w:sz w:val="32"/>
          <w:szCs w:val="32"/>
        </w:rPr>
        <w:t>卫生健康</w:t>
      </w:r>
      <w:r>
        <w:rPr>
          <w:rFonts w:hint="eastAsia" w:ascii="仿宋_GB2312" w:hAnsi="仿宋_GB2312" w:eastAsia="仿宋_GB2312" w:cs="仿宋_GB2312"/>
          <w:sz w:val="32"/>
          <w:szCs w:val="32"/>
        </w:rPr>
        <w:t>支出21.18万元，占2.07%；</w:t>
      </w:r>
      <w:r>
        <w:rPr>
          <w:rFonts w:hint="eastAsia" w:ascii="仿宋_GB2312" w:hAnsi="仿宋_GB2312" w:eastAsia="仿宋_GB2312" w:cs="仿宋_GB2312"/>
          <w:b/>
          <w:bCs/>
          <w:sz w:val="32"/>
          <w:szCs w:val="32"/>
        </w:rPr>
        <w:t>住房保障</w:t>
      </w:r>
      <w:r>
        <w:rPr>
          <w:rFonts w:hint="eastAsia" w:ascii="仿宋_GB2312" w:hAnsi="仿宋_GB2312" w:eastAsia="仿宋_GB2312" w:cs="仿宋_GB2312"/>
          <w:sz w:val="32"/>
          <w:szCs w:val="32"/>
        </w:rPr>
        <w:t>支出40.26万元，占3.9%。</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560" w:lineRule="exact"/>
        <w:ind w:firstLine="640" w:firstLineChars="200"/>
        <w:rPr>
          <w:rFonts w:ascii="楷体" w:hAnsi="楷体" w:eastAsia="楷体" w:cs="楷体"/>
          <w:bCs/>
          <w:sz w:val="32"/>
          <w:szCs w:val="32"/>
        </w:rPr>
      </w:pPr>
      <w:r>
        <w:rPr>
          <w:rFonts w:ascii="楷体" w:hAnsi="楷体" w:eastAsia="楷体" w:cs="楷体"/>
          <w:bCs/>
          <w:sz w:val="32"/>
          <w:szCs w:val="32"/>
        </w:rPr>
        <w:pict>
          <v:shape id="_x0000_s2053" o:spid="_x0000_s2053" o:spt="75" type="#_x0000_t75" style="position:absolute;left:0pt;margin-left:51pt;margin-top:24pt;height:142.75pt;width:340.15pt;mso-wrap-distance-bottom:0pt;mso-wrap-distance-left:9pt;mso-wrap-distance-right:9pt;mso-wrap-distance-top:0pt;z-index:251658240;mso-width-relative:page;mso-height-relative:page;" o:ole="t" filled="f" o:preferrelative="t" stroked="f" coordsize="21600,21600">
            <v:path/>
            <v:fill on="f" focussize="0,0"/>
            <v:stroke on="f" joinstyle="miter"/>
            <v:imagedata r:id="rId14" o:title=""/>
            <o:lock v:ext="edit" aspectratio="f"/>
            <w10:wrap type="square"/>
          </v:shape>
          <o:OLEObject Type="Embed" ProgID="MSGraph.Chart.8" ShapeID="_x0000_s2053" DrawAspect="Content" ObjectID="_1468075727" r:id="rId13">
            <o:LockedField>false</o:LockedField>
          </o:OLEObject>
        </w:pict>
      </w:r>
      <w:bookmarkStart w:id="36" w:name="_Toc15377212"/>
      <w:r>
        <w:rPr>
          <w:rFonts w:hint="eastAsia" w:ascii="楷体" w:hAnsi="楷体" w:eastAsia="楷体" w:cs="楷体"/>
          <w:bCs/>
          <w:sz w:val="32"/>
          <w:szCs w:val="32"/>
        </w:rPr>
        <w:t>（三）一般公共预算财政拨款支出决算具体情况</w:t>
      </w:r>
      <w:bookmarkEnd w:id="36"/>
    </w:p>
    <w:p>
      <w:pPr>
        <w:spacing w:line="560" w:lineRule="exact"/>
        <w:ind w:firstLine="642" w:firstLineChars="200"/>
        <w:rPr>
          <w:rFonts w:ascii="仿宋_GB2312" w:hAnsi="仿宋_GB2312" w:eastAsia="仿宋_GB2312" w:cs="仿宋_GB2312"/>
          <w:sz w:val="32"/>
          <w:szCs w:val="32"/>
        </w:rPr>
      </w:pPr>
      <w:bookmarkStart w:id="37" w:name="_Toc15377213"/>
      <w:bookmarkStart w:id="38" w:name="_Toc15378460"/>
      <w:bookmarkStart w:id="39" w:name="_Toc15377444"/>
      <w:r>
        <w:rPr>
          <w:rFonts w:hint="eastAsia" w:ascii="仿宋_GB2312" w:hAnsi="仿宋_GB2312" w:eastAsia="仿宋_GB2312" w:cs="仿宋_GB2312"/>
          <w:b/>
          <w:sz w:val="32"/>
          <w:szCs w:val="32"/>
        </w:rPr>
        <w:t>2021年一般公共预算支出决算数为1021.15万元</w:t>
      </w:r>
      <w:r>
        <w:rPr>
          <w:rFonts w:hint="eastAsia" w:ascii="仿宋_GB2312" w:hAnsi="仿宋_GB2312" w:eastAsia="仿宋_GB2312" w:cs="仿宋_GB2312"/>
          <w:sz w:val="32"/>
          <w:szCs w:val="32"/>
        </w:rPr>
        <w:t>，</w:t>
      </w:r>
      <w:r>
        <w:rPr>
          <w:rStyle w:val="15"/>
          <w:rFonts w:hint="eastAsia" w:ascii="仿宋_GB2312" w:hAnsi="仿宋_GB2312" w:eastAsia="仿宋_GB2312" w:cs="仿宋_GB2312"/>
          <w:bCs/>
          <w:sz w:val="32"/>
          <w:szCs w:val="32"/>
        </w:rPr>
        <w:t>完成预算100%。其中：</w:t>
      </w:r>
      <w:bookmarkEnd w:id="37"/>
      <w:bookmarkEnd w:id="38"/>
      <w:bookmarkEnd w:id="39"/>
    </w:p>
    <w:p>
      <w:pPr>
        <w:spacing w:line="560" w:lineRule="exact"/>
        <w:ind w:firstLine="629" w:firstLineChars="196"/>
        <w:rPr>
          <w:rFonts w:ascii="仿宋_GB2312" w:hAnsi="仿宋_GB2312" w:eastAsia="仿宋_GB2312" w:cs="仿宋_GB2312"/>
          <w:sz w:val="32"/>
          <w:szCs w:val="32"/>
        </w:rPr>
      </w:pPr>
      <w:r>
        <w:rPr>
          <w:rStyle w:val="15"/>
          <w:rFonts w:hint="eastAsia" w:ascii="仿宋_GB2312" w:hAnsi="仿宋_GB2312" w:eastAsia="仿宋_GB2312" w:cs="仿宋_GB2312"/>
          <w:bCs/>
          <w:color w:val="000000"/>
          <w:sz w:val="32"/>
          <w:szCs w:val="32"/>
        </w:rPr>
        <w:t>1.</w:t>
      </w:r>
      <w:r>
        <w:rPr>
          <w:rFonts w:hint="eastAsia" w:ascii="仿宋_GB2312" w:hAnsi="仿宋_GB2312" w:eastAsia="仿宋_GB2312" w:cs="仿宋_GB2312"/>
          <w:b/>
          <w:bCs/>
          <w:color w:val="000000"/>
          <w:sz w:val="32"/>
          <w:szCs w:val="32"/>
        </w:rPr>
        <w:t>一般公共服务(类)党委办公厅(室)及相关机构事务(款)其他党委办公厅(室)及相关机构事务支出(项):</w:t>
      </w:r>
      <w:r>
        <w:rPr>
          <w:rFonts w:hint="eastAsia" w:ascii="仿宋_GB2312" w:hAnsi="仿宋_GB2312" w:eastAsia="仿宋_GB2312" w:cs="仿宋_GB2312"/>
          <w:color w:val="000000"/>
          <w:sz w:val="32"/>
          <w:szCs w:val="32"/>
        </w:rPr>
        <w:t xml:space="preserve"> 支出决算为2万元,完成预算100%。决算数等于预算数的原因是严格按照预算来使用资金。</w:t>
      </w:r>
    </w:p>
    <w:p>
      <w:pPr>
        <w:spacing w:line="560" w:lineRule="exact"/>
        <w:ind w:firstLine="629" w:firstLineChars="196"/>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2.一般公共服务(类)其他共产党事务支出(款)其他共产党事务支出(项):</w:t>
      </w:r>
      <w:r>
        <w:rPr>
          <w:rFonts w:hint="eastAsia" w:ascii="仿宋_GB2312" w:hAnsi="仿宋_GB2312" w:eastAsia="仿宋_GB2312" w:cs="仿宋_GB2312"/>
          <w:color w:val="000000"/>
          <w:sz w:val="32"/>
          <w:szCs w:val="32"/>
        </w:rPr>
        <w:t>支出决算为0.42万元,完成预算100%。决算数等于预算数的原因是严格按照预算来使用资金。</w:t>
      </w:r>
    </w:p>
    <w:p>
      <w:pPr>
        <w:spacing w:line="560" w:lineRule="exact"/>
        <w:ind w:firstLine="629" w:firstLineChars="196"/>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3.公共安全支出-检察-行政运行:</w:t>
      </w:r>
      <w:r>
        <w:rPr>
          <w:rFonts w:hint="eastAsia" w:ascii="仿宋_GB2312" w:hAnsi="仿宋_GB2312" w:eastAsia="仿宋_GB2312" w:cs="仿宋_GB2312"/>
          <w:color w:val="000000"/>
          <w:sz w:val="32"/>
          <w:szCs w:val="32"/>
        </w:rPr>
        <w:t>支出决算数为430.97万元,完成预算的100%,决算数等于预算数的原因是严格按照预算来使用资金。</w:t>
      </w:r>
    </w:p>
    <w:p>
      <w:pPr>
        <w:spacing w:line="56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4.公共安全支出-检察-其他检察支出:</w:t>
      </w:r>
      <w:r>
        <w:rPr>
          <w:rFonts w:hint="eastAsia" w:ascii="仿宋_GB2312" w:hAnsi="仿宋_GB2312" w:eastAsia="仿宋_GB2312" w:cs="仿宋_GB2312"/>
          <w:color w:val="000000"/>
          <w:sz w:val="32"/>
          <w:szCs w:val="32"/>
        </w:rPr>
        <w:t>支出决算数为467.08万元。完成预算数的100%，决算数等于预算数的原因是严格按照预算来使用资金。</w:t>
      </w:r>
    </w:p>
    <w:p>
      <w:pPr>
        <w:spacing w:line="56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5.社会保障和就业-行政事业单位养老支出-行政事业单位离退休:</w:t>
      </w:r>
      <w:r>
        <w:rPr>
          <w:rFonts w:hint="eastAsia" w:ascii="仿宋_GB2312" w:hAnsi="仿宋_GB2312" w:eastAsia="仿宋_GB2312" w:cs="仿宋_GB2312"/>
          <w:color w:val="000000"/>
          <w:sz w:val="32"/>
          <w:szCs w:val="32"/>
        </w:rPr>
        <w:t xml:space="preserve"> 支出决算为18.50万元,完成预算100%。决算数等于预算数的原因是严格按照预算来使用资金。</w:t>
      </w:r>
    </w:p>
    <w:p>
      <w:pPr>
        <w:spacing w:line="56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6.社会保障和就业-行政事业单位养老支出-机关事业单位基本养老保险缴费支出:</w:t>
      </w:r>
      <w:r>
        <w:rPr>
          <w:rFonts w:hint="eastAsia" w:ascii="仿宋_GB2312" w:hAnsi="仿宋_GB2312" w:eastAsia="仿宋_GB2312" w:cs="仿宋_GB2312"/>
          <w:color w:val="000000"/>
          <w:sz w:val="32"/>
          <w:szCs w:val="32"/>
        </w:rPr>
        <w:t xml:space="preserve"> 支出决算为31.40万元,完成预算100%。决算数等于预算数的原因是严格按照预算来使用资金。</w:t>
      </w:r>
    </w:p>
    <w:p>
      <w:pPr>
        <w:spacing w:line="56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7.社会保障和就业-行政事业单位养老支出-机关事业单位职业年金缴费支出:</w:t>
      </w:r>
      <w:r>
        <w:rPr>
          <w:rFonts w:hint="eastAsia" w:ascii="仿宋_GB2312" w:hAnsi="仿宋_GB2312" w:eastAsia="仿宋_GB2312" w:cs="仿宋_GB2312"/>
          <w:color w:val="000000"/>
          <w:sz w:val="32"/>
          <w:szCs w:val="32"/>
        </w:rPr>
        <w:t xml:space="preserve"> 支出决算为9.09万元,完成预算100%。决算数等于预算数的原因是严格按照预算来使用资金。</w:t>
      </w:r>
    </w:p>
    <w:p>
      <w:pPr>
        <w:spacing w:line="560" w:lineRule="exact"/>
        <w:ind w:firstLine="629" w:firstLineChars="196"/>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8.卫生健康支出-行政事业单位医疗-行政单位医疗:</w:t>
      </w:r>
      <w:r>
        <w:rPr>
          <w:rFonts w:hint="eastAsia" w:ascii="仿宋_GB2312" w:hAnsi="仿宋_GB2312" w:eastAsia="仿宋_GB2312" w:cs="仿宋_GB2312"/>
          <w:color w:val="000000"/>
          <w:sz w:val="32"/>
          <w:szCs w:val="32"/>
        </w:rPr>
        <w:t>支出决算为14.65万元,完成预算100%。决算数等于预算数的原因是严格按照预算来使用资金</w:t>
      </w:r>
      <w:r>
        <w:rPr>
          <w:rFonts w:hint="eastAsia" w:ascii="仿宋_GB2312" w:hAnsi="仿宋_GB2312" w:eastAsia="仿宋_GB2312" w:cs="仿宋_GB2312"/>
          <w:b/>
          <w:bCs/>
          <w:color w:val="000000"/>
          <w:sz w:val="32"/>
          <w:szCs w:val="32"/>
        </w:rPr>
        <w:t>。</w:t>
      </w:r>
    </w:p>
    <w:p>
      <w:pPr>
        <w:spacing w:line="560" w:lineRule="exact"/>
        <w:ind w:firstLine="629" w:firstLineChars="196"/>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9.卫生健康支出-行政事业单位医疗-事业单位医疗:</w:t>
      </w:r>
      <w:r>
        <w:rPr>
          <w:rFonts w:hint="eastAsia" w:ascii="仿宋_GB2312" w:hAnsi="仿宋_GB2312" w:eastAsia="仿宋_GB2312" w:cs="仿宋_GB2312"/>
          <w:color w:val="000000"/>
          <w:sz w:val="32"/>
          <w:szCs w:val="32"/>
        </w:rPr>
        <w:t>支出决算为1.23万元,完成预算100%。决算数等于预算数的原因是严格按照预算来使用资金</w:t>
      </w:r>
      <w:r>
        <w:rPr>
          <w:rFonts w:hint="eastAsia" w:ascii="仿宋_GB2312" w:hAnsi="仿宋_GB2312" w:eastAsia="仿宋_GB2312" w:cs="仿宋_GB2312"/>
          <w:b/>
          <w:bCs/>
          <w:color w:val="000000"/>
          <w:sz w:val="32"/>
          <w:szCs w:val="32"/>
        </w:rPr>
        <w:t>。</w:t>
      </w:r>
    </w:p>
    <w:p>
      <w:pPr>
        <w:spacing w:line="560" w:lineRule="exact"/>
        <w:ind w:firstLine="629" w:firstLineChars="196"/>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10.卫生健康支出-行政事业单位医疗-公务员医疗补助:</w:t>
      </w:r>
      <w:r>
        <w:rPr>
          <w:rFonts w:hint="eastAsia" w:ascii="仿宋_GB2312" w:hAnsi="仿宋_GB2312" w:eastAsia="仿宋_GB2312" w:cs="仿宋_GB2312"/>
          <w:color w:val="000000"/>
          <w:sz w:val="32"/>
          <w:szCs w:val="32"/>
        </w:rPr>
        <w:t>支出决算为5.30万元,完成预算100%。决算数等于预算数的原因是严格按照预算来使用资金</w:t>
      </w:r>
      <w:r>
        <w:rPr>
          <w:rFonts w:hint="eastAsia" w:ascii="仿宋_GB2312" w:hAnsi="仿宋_GB2312" w:eastAsia="仿宋_GB2312" w:cs="仿宋_GB2312"/>
          <w:b/>
          <w:bCs/>
          <w:color w:val="000000"/>
          <w:sz w:val="32"/>
          <w:szCs w:val="32"/>
        </w:rPr>
        <w:t>。</w:t>
      </w:r>
    </w:p>
    <w:p>
      <w:pPr>
        <w:spacing w:line="560" w:lineRule="exact"/>
        <w:ind w:firstLine="629" w:firstLineChars="196"/>
        <w:rPr>
          <w:rFonts w:ascii="仿宋_GB2312" w:hAnsi="仿宋_GB2312" w:eastAsia="仿宋_GB2312" w:cs="仿宋_GB2312"/>
          <w:b/>
          <w:sz w:val="32"/>
          <w:szCs w:val="32"/>
        </w:rPr>
      </w:pPr>
      <w:r>
        <w:rPr>
          <w:rFonts w:hint="eastAsia" w:ascii="仿宋_GB2312" w:hAnsi="仿宋_GB2312" w:eastAsia="仿宋_GB2312" w:cs="仿宋_GB2312"/>
          <w:b/>
          <w:bCs/>
          <w:color w:val="000000"/>
          <w:sz w:val="32"/>
          <w:szCs w:val="32"/>
        </w:rPr>
        <w:t>11.住房保障支出-住房改革支出-住房公积金：</w:t>
      </w:r>
      <w:r>
        <w:rPr>
          <w:rFonts w:hint="eastAsia" w:ascii="仿宋_GB2312" w:hAnsi="仿宋_GB2312" w:eastAsia="仿宋_GB2312" w:cs="仿宋_GB2312"/>
          <w:color w:val="000000"/>
          <w:sz w:val="32"/>
          <w:szCs w:val="32"/>
        </w:rPr>
        <w:t>支出决算为40.26万元,完成预算100%。决算数等于预算数的原因是严格按照预算来使用资金。</w:t>
      </w:r>
    </w:p>
    <w:p>
      <w:pPr>
        <w:tabs>
          <w:tab w:val="right" w:pos="8306"/>
        </w:tabs>
        <w:spacing w:line="560" w:lineRule="exact"/>
        <w:ind w:firstLine="640"/>
        <w:outlineLvl w:val="1"/>
        <w:rPr>
          <w:rStyle w:val="26"/>
          <w:rFonts w:ascii="黑体" w:hAnsi="黑体" w:eastAsia="黑体" w:cs="黑体"/>
        </w:rPr>
      </w:pPr>
      <w:bookmarkStart w:id="40" w:name="_Toc15377214"/>
      <w:bookmarkStart w:id="41" w:name="_Toc15396608"/>
      <w:r>
        <w:rPr>
          <w:rFonts w:hint="eastAsia" w:ascii="黑体" w:hAnsi="黑体" w:eastAsia="黑体" w:cs="黑体"/>
          <w:sz w:val="32"/>
          <w:szCs w:val="32"/>
        </w:rPr>
        <w:t>六</w:t>
      </w:r>
      <w:r>
        <w:rPr>
          <w:rFonts w:hint="eastAsia" w:ascii="黑体" w:hAnsi="黑体" w:eastAsia="黑体" w:cs="黑体"/>
          <w:b/>
          <w:sz w:val="32"/>
          <w:szCs w:val="32"/>
        </w:rPr>
        <w:t>、一</w:t>
      </w:r>
      <w:r>
        <w:rPr>
          <w:rStyle w:val="26"/>
          <w:rFonts w:hint="eastAsia" w:ascii="黑体" w:hAnsi="黑体" w:eastAsia="黑体" w:cs="黑体"/>
          <w:b w:val="0"/>
        </w:rPr>
        <w:t>般公共预算财政拨款基本支出决算情况说明</w:t>
      </w:r>
      <w:bookmarkEnd w:id="40"/>
      <w:bookmarkEnd w:id="41"/>
      <w:r>
        <w:rPr>
          <w:rStyle w:val="26"/>
          <w:rFonts w:hint="eastAsia" w:ascii="黑体" w:hAnsi="黑体" w:eastAsia="黑体" w:cs="黑体"/>
          <w:b w:val="0"/>
        </w:rPr>
        <w:tab/>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2021年一般公共预算财政拨款基本支出634.1万元，其中：</w:t>
      </w:r>
    </w:p>
    <w:p>
      <w:pPr>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509.74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560" w:lineRule="exact"/>
        <w:ind w:firstLine="645"/>
        <w:rPr>
          <w:rFonts w:ascii="仿宋_GB2312" w:hAnsi="仿宋_GB2312" w:eastAsia="仿宋_GB2312" w:cs="仿宋_GB2312"/>
          <w:b/>
          <w:sz w:val="32"/>
          <w:szCs w:val="32"/>
        </w:rPr>
      </w:pPr>
      <w:r>
        <w:rPr>
          <w:rFonts w:hint="eastAsia" w:ascii="仿宋_GB2312" w:hAnsi="仿宋_GB2312" w:eastAsia="仿宋_GB2312" w:cs="仿宋_GB2312"/>
          <w:sz w:val="32"/>
          <w:szCs w:val="32"/>
        </w:rPr>
        <w:t>公用经费124.35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77215"/>
      <w:bookmarkStart w:id="43" w:name="_Toc15396609"/>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楷体" w:hAnsi="楷体" w:eastAsia="楷体" w:cs="楷体"/>
          <w:bCs/>
          <w:sz w:val="32"/>
          <w:szCs w:val="32"/>
        </w:rPr>
      </w:pPr>
      <w:bookmarkStart w:id="44" w:name="_Toc15377216"/>
      <w:r>
        <w:rPr>
          <w:rFonts w:hint="eastAsia" w:ascii="楷体" w:hAnsi="楷体" w:eastAsia="楷体" w:cs="楷体"/>
          <w:bCs/>
          <w:sz w:val="32"/>
          <w:szCs w:val="32"/>
        </w:rPr>
        <w:t>（一）“三公”经费财政拨款支出决算总体情况说明</w:t>
      </w:r>
      <w:bookmarkEnd w:id="44"/>
    </w:p>
    <w:p>
      <w:pPr>
        <w:spacing w:line="560" w:lineRule="exact"/>
        <w:ind w:firstLine="640" w:firstLineChars="200"/>
        <w:rPr>
          <w:rFonts w:ascii="仿宋" w:hAnsi="仿宋" w:eastAsia="仿宋"/>
          <w:b/>
          <w:sz w:val="32"/>
          <w:szCs w:val="32"/>
        </w:rPr>
      </w:pPr>
      <w:r>
        <w:rPr>
          <w:rFonts w:hint="eastAsia" w:ascii="仿宋_GB2312" w:hAnsi="仿宋_GB2312" w:eastAsia="仿宋_GB2312" w:cs="仿宋_GB2312"/>
          <w:sz w:val="32"/>
          <w:szCs w:val="32"/>
        </w:rPr>
        <w:t>2021年“三公”经费财政拨款支出决算为6.02万元，完成预算100%，决算数与预算数持平的主要原因是</w:t>
      </w:r>
      <w:r>
        <w:rPr>
          <w:rFonts w:hint="eastAsia" w:ascii="仿宋_GB2312" w:hAnsi="仿宋_GB2312" w:eastAsia="仿宋_GB2312" w:cs="仿宋_GB2312"/>
          <w:color w:val="000000"/>
          <w:sz w:val="32"/>
          <w:szCs w:val="32"/>
        </w:rPr>
        <w:t>我院严格执行中央八项规定,贯彻落实例行节约原则</w:t>
      </w:r>
      <w:r>
        <w:rPr>
          <w:rFonts w:hint="eastAsia" w:ascii="仿宋_GB2312" w:hAnsi="仿宋_GB2312" w:eastAsia="仿宋_GB2312" w:cs="仿宋_GB2312"/>
          <w:sz w:val="32"/>
          <w:szCs w:val="32"/>
        </w:rPr>
        <w:t>。</w:t>
      </w:r>
    </w:p>
    <w:p>
      <w:pPr>
        <w:spacing w:line="600" w:lineRule="exact"/>
        <w:ind w:firstLine="640"/>
        <w:outlineLvl w:val="2"/>
        <w:rPr>
          <w:rFonts w:ascii="楷体" w:hAnsi="楷体" w:eastAsia="楷体" w:cs="楷体"/>
          <w:bCs/>
          <w:sz w:val="32"/>
          <w:szCs w:val="32"/>
        </w:rPr>
      </w:pPr>
      <w:bookmarkStart w:id="45" w:name="_Toc15377217"/>
      <w:r>
        <w:rPr>
          <w:rFonts w:hint="eastAsia" w:ascii="楷体" w:hAnsi="楷体" w:eastAsia="楷体" w:cs="楷体"/>
          <w:bCs/>
          <w:sz w:val="32"/>
          <w:szCs w:val="32"/>
        </w:rPr>
        <w:t>（二）“三公”经费财政拨款支出决算具体情况说明</w:t>
      </w:r>
      <w:bookmarkEnd w:id="45"/>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2021年“三公”经费财政拨款支出决算中，因公出国（境）费支出决算0万元，占0%；公务用车购置及运行维护费支出决算4.90万元，占81.4%；公务接待费支出决算1.12万元，占18.6%。具体情况如下：</w:t>
      </w:r>
    </w:p>
    <w:p>
      <w:pPr>
        <w:spacing w:line="56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spacing w:before="93"/>
        <w:rPr>
          <w:rFonts w:ascii="仿宋" w:hAnsi="仿宋" w:eastAsia="仿宋"/>
          <w:sz w:val="32"/>
          <w:szCs w:val="32"/>
        </w:rPr>
      </w:pPr>
      <w:r>
        <w:rPr>
          <w:rFonts w:ascii="仿宋" w:hAnsi="仿宋" w:eastAsia="仿宋"/>
          <w:sz w:val="32"/>
          <w:szCs w:val="32"/>
        </w:rPr>
        <w:pict>
          <v:shape id="_x0000_s2054" o:spid="_x0000_s2054" o:spt="75" type="#_x0000_t75" style="position:absolute;left:0pt;margin-left:3.75pt;margin-top:2.3pt;height:171pt;width:312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6" o:title=""/>
            <o:lock v:ext="edit" aspectratio="f"/>
            <w10:wrap type="square"/>
          </v:shape>
          <o:OLEObject Type="Embed" ProgID="MSGraph.Chart.8" ShapeID="_x0000_s2054" DrawAspect="Content" ObjectID="_1468075728" r:id="rId15">
            <o:LockedField>false</o:LockedField>
          </o:OLEObject>
        </w:pict>
      </w: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spacing w:line="560" w:lineRule="exact"/>
        <w:rPr>
          <w:rFonts w:ascii="仿宋_GB2312" w:hAnsi="仿宋_GB2312" w:eastAsia="仿宋_GB2312" w:cs="仿宋_GB2312"/>
          <w:b/>
          <w:sz w:val="32"/>
          <w:szCs w:val="32"/>
        </w:rPr>
      </w:pPr>
    </w:p>
    <w:p>
      <w:pPr>
        <w:spacing w:line="560" w:lineRule="exact"/>
        <w:ind w:firstLine="642" w:firstLineChars="200"/>
        <w:rPr>
          <w:rFonts w:ascii="仿宋_GB2312" w:hAnsi="仿宋_GB2312" w:eastAsia="仿宋_GB2312" w:cs="仿宋_GB2312"/>
          <w:b/>
          <w:sz w:val="32"/>
          <w:szCs w:val="32"/>
        </w:rPr>
      </w:pP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Style w:val="15"/>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全年安排因公出国（境）团组0次，出国（境）0人。</w:t>
      </w:r>
    </w:p>
    <w:p>
      <w:pPr>
        <w:spacing w:line="560" w:lineRule="exact"/>
        <w:ind w:firstLine="642" w:firstLineChars="200"/>
        <w:rPr>
          <w:rFonts w:ascii="仿宋_GB2312" w:hAnsi="仿宋_GB2312" w:eastAsia="仿宋_GB2312" w:cs="仿宋_GB2312"/>
          <w:b/>
          <w:color w:val="FF0000"/>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4.90万元,</w:t>
      </w:r>
      <w:r>
        <w:rPr>
          <w:rStyle w:val="15"/>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sz w:val="32"/>
          <w:szCs w:val="32"/>
        </w:rPr>
        <w:t>公务用车购置及运行维护费支出决算比2020年减少0.19万元，下降37.33%。主要原因是我院严格执行中央八项规定,贯彻落实例行节约原则。</w:t>
      </w:r>
    </w:p>
    <w:p>
      <w:pPr>
        <w:spacing w:line="560"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0万元。全年按规定更新购置公务用车0辆，其中：轿车0辆、金额0万元，越野车0辆、金额0万元，载客汽车0辆、金额0万元.截至2021年12月底，单位共有公务用车4辆，其中：轿车1辆、越野车3辆、载客汽车0辆。</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4.90万元。</w:t>
      </w:r>
      <w:r>
        <w:rPr>
          <w:rFonts w:hint="eastAsia" w:ascii="仿宋_GB2312" w:hAnsi="仿宋_GB2312" w:eastAsia="仿宋_GB2312" w:cs="仿宋_GB2312"/>
          <w:color w:val="000000"/>
          <w:sz w:val="32"/>
          <w:szCs w:val="32"/>
        </w:rPr>
        <w:t>主要用于办案调查取证、线索初查、讯问、换押、告知、开庭等所需的公务用车燃料费、维修费、过路过桥费、保险费等支出。</w:t>
      </w:r>
    </w:p>
    <w:p>
      <w:pPr>
        <w:spacing w:line="560" w:lineRule="exact"/>
        <w:ind w:firstLine="642" w:firstLineChars="200"/>
        <w:rPr>
          <w:rFonts w:eastAsia="仿宋_GB231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1.12万元，</w:t>
      </w:r>
      <w:r>
        <w:rPr>
          <w:rStyle w:val="15"/>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sz w:val="32"/>
          <w:szCs w:val="32"/>
        </w:rPr>
        <w:t>公务接待费支出决算比2020年增加0.73万元，增长187.18%。</w:t>
      </w:r>
      <w:r>
        <w:rPr>
          <w:rFonts w:hint="eastAsia" w:ascii="仿宋_GB2312" w:hAnsi="仿宋_GB2312" w:eastAsia="仿宋_GB2312" w:cs="仿宋_GB2312"/>
          <w:color w:val="000000" w:themeColor="text1"/>
          <w:sz w:val="32"/>
          <w:szCs w:val="32"/>
        </w:rPr>
        <w:t>主要原因是2021年基层院建设，上级机关及其他部门指导工作较多。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1.12万元，</w:t>
      </w:r>
      <w:r>
        <w:rPr>
          <w:rFonts w:hint="eastAsia" w:ascii="仿宋_GB2312" w:hAnsi="仿宋_GB2312" w:eastAsia="仿宋_GB2312" w:cs="仿宋_GB2312"/>
          <w:color w:val="000000"/>
          <w:sz w:val="32"/>
          <w:szCs w:val="32"/>
        </w:rPr>
        <w:t>主要用于执行公务、开展业务活动开支的交通费、住宿费、用餐费等</w:t>
      </w:r>
      <w:r>
        <w:rPr>
          <w:rFonts w:hint="eastAsia" w:ascii="仿宋_GB2312" w:hAnsi="仿宋_GB2312" w:eastAsia="仿宋_GB2312" w:cs="仿宋_GB2312"/>
          <w:sz w:val="32"/>
          <w:szCs w:val="32"/>
        </w:rPr>
        <w:t>。国内公务接待18批次，110人次（不包括陪同人员），共计支出1.12万元，具体内容包括：</w:t>
      </w:r>
      <w:r>
        <w:rPr>
          <w:rFonts w:hint="eastAsia" w:ascii="仿宋_GB2312" w:hAnsi="仿宋_GB2312" w:eastAsia="仿宋_GB2312" w:cs="仿宋_GB2312"/>
          <w:color w:val="000000"/>
          <w:sz w:val="32"/>
          <w:szCs w:val="32"/>
        </w:rPr>
        <w:t>其他区县院到我院交流经验,相互学习借鉴;上级机关及其他部门到我院指导工作、调研等。</w:t>
      </w:r>
    </w:p>
    <w:p>
      <w:pPr>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0万元，外事接待0批次，0人，共计支出0万元。</w:t>
      </w:r>
      <w:bookmarkStart w:id="46" w:name="_Toc15396610"/>
      <w:bookmarkStart w:id="47" w:name="_Toc15377218"/>
    </w:p>
    <w:p>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6"/>
          <w:rFonts w:ascii="黑体" w:hAnsi="黑体" w:eastAsia="黑体"/>
          <w:b w:val="0"/>
        </w:rPr>
      </w:pPr>
      <w:bookmarkStart w:id="50" w:name="_Toc15377221"/>
      <w:bookmarkStart w:id="51" w:name="_Toc15396612"/>
      <w:r>
        <w:rPr>
          <w:rStyle w:val="26"/>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 w:hAnsi="楷体" w:eastAsia="楷体"/>
          <w:sz w:val="32"/>
          <w:szCs w:val="32"/>
        </w:rPr>
      </w:pPr>
      <w:bookmarkStart w:id="52" w:name="_Toc15377222"/>
      <w:r>
        <w:rPr>
          <w:rFonts w:hint="eastAsia" w:ascii="楷体" w:hAnsi="楷体" w:eastAsia="楷体"/>
          <w:sz w:val="32"/>
          <w:szCs w:val="32"/>
        </w:rPr>
        <w:t>（一）机关运行经费支出情况</w:t>
      </w:r>
      <w:bookmarkEnd w:id="52"/>
    </w:p>
    <w:p>
      <w:pPr>
        <w:spacing w:line="56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21年，天全县人民检察院机关运行经费支出124.36万元，比</w:t>
      </w:r>
      <w:r>
        <w:rPr>
          <w:rFonts w:ascii="仿宋_GB2312" w:eastAsia="仿宋_GB2312"/>
          <w:sz w:val="32"/>
          <w:szCs w:val="32"/>
        </w:rPr>
        <w:t>20</w:t>
      </w:r>
      <w:r>
        <w:rPr>
          <w:rFonts w:hint="eastAsia" w:ascii="仿宋_GB2312" w:eastAsia="仿宋_GB2312"/>
          <w:sz w:val="32"/>
          <w:szCs w:val="32"/>
        </w:rPr>
        <w:t>20年减少44.93万元，下降26.54</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color w:val="000000"/>
          <w:sz w:val="32"/>
          <w:szCs w:val="32"/>
        </w:rPr>
        <w:t>我院严格执行中央八项规定,贯彻落实例行节约原则</w:t>
      </w:r>
      <w:r>
        <w:rPr>
          <w:rFonts w:hint="eastAsia" w:ascii="仿宋_GB2312" w:hAnsi="仿宋_GB2312" w:eastAsia="仿宋_GB2312" w:cs="仿宋_GB2312"/>
          <w:sz w:val="32"/>
          <w:szCs w:val="32"/>
        </w:rPr>
        <w:t>。</w:t>
      </w:r>
    </w:p>
    <w:p>
      <w:pPr>
        <w:autoSpaceDE w:val="0"/>
        <w:autoSpaceDN w:val="0"/>
        <w:adjustRightInd w:val="0"/>
        <w:spacing w:line="600" w:lineRule="exact"/>
        <w:ind w:firstLine="640" w:firstLineChars="200"/>
        <w:jc w:val="left"/>
        <w:outlineLvl w:val="2"/>
        <w:rPr>
          <w:rFonts w:ascii="楷体" w:hAnsi="楷体" w:eastAsia="楷体"/>
          <w:sz w:val="32"/>
          <w:szCs w:val="32"/>
        </w:rPr>
      </w:pPr>
      <w:bookmarkStart w:id="53" w:name="_Toc15377223"/>
      <w:r>
        <w:rPr>
          <w:rFonts w:hint="eastAsia" w:ascii="楷体" w:hAnsi="楷体" w:eastAsia="楷体"/>
          <w:sz w:val="32"/>
          <w:szCs w:val="32"/>
        </w:rPr>
        <w:t>（二）政府采购支出情况</w:t>
      </w:r>
      <w:bookmarkEnd w:id="53"/>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天全县人民检察院政府采购支出总额467.71万元，其中：政府采购货物支出0万元、政府采购工程支出467.71万元、政府采购服务支出0万元。主要用于基层院建设改造，智慧强检采购等。授予中小企业合同金额467.71万元，占政府采购支出总额的1</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楷体" w:hAnsi="楷体" w:eastAsia="楷体"/>
          <w:sz w:val="32"/>
          <w:szCs w:val="32"/>
        </w:rPr>
      </w:pPr>
      <w:bookmarkStart w:id="54" w:name="_Toc15377224"/>
      <w:r>
        <w:rPr>
          <w:rFonts w:hint="eastAsia" w:ascii="楷体" w:hAnsi="楷体" w:eastAsia="楷体"/>
          <w:sz w:val="32"/>
          <w:szCs w:val="32"/>
        </w:rPr>
        <w:t>（三）国有资产占有使用情况</w:t>
      </w:r>
      <w:bookmarkEnd w:id="54"/>
    </w:p>
    <w:p>
      <w:pPr>
        <w:autoSpaceDE w:val="0"/>
        <w:autoSpaceDN w:val="0"/>
        <w:adjustRightIn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cs="仿宋_GB2312"/>
          <w:color w:val="000000"/>
          <w:sz w:val="32"/>
          <w:szCs w:val="32"/>
        </w:rPr>
        <w:t>，天全县人民检察院共有车辆4辆,其中:部级领导干部用车0辆、一般公务用车0辆、一般执法执勤用车3辆、特种专业技术用车1辆、其他用车0辆,单价50万元以上通用设备0台(套),单价100万元以上专用设备0台(套)。</w:t>
      </w:r>
    </w:p>
    <w:p>
      <w:pPr>
        <w:autoSpaceDE w:val="0"/>
        <w:autoSpaceDN w:val="0"/>
        <w:adjustRightInd w:val="0"/>
        <w:spacing w:line="600" w:lineRule="exact"/>
        <w:ind w:firstLine="640" w:firstLineChars="200"/>
        <w:jc w:val="left"/>
        <w:outlineLvl w:val="2"/>
        <w:rPr>
          <w:rFonts w:ascii="楷体" w:hAnsi="楷体" w:eastAsia="楷体"/>
          <w:sz w:val="32"/>
          <w:szCs w:val="32"/>
        </w:rPr>
      </w:pPr>
      <w:r>
        <w:rPr>
          <w:rFonts w:hint="eastAsia" w:ascii="楷体" w:hAnsi="楷体" w:eastAsia="楷体"/>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县级领导联系项目和乡村等工作经费等3个项目开展了预算事前绩效评估，对3个项目编制了绩效目标，预算执行过程中，选取3个项目开展绩效监控，年终执行完毕后，对3个项目开展了绩效自评。同时，本部门对2021年部门整体开展绩效自评，《2021年天全县人民检察院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25"/>
          <w:rFonts w:ascii="方正小标宋简体" w:hAnsi="方正小标宋简体" w:eastAsia="方正小标宋简体" w:cs="方正小标宋简体"/>
          <w:b w:val="0"/>
        </w:rPr>
      </w:pPr>
      <w:bookmarkStart w:id="55" w:name="_Toc15377225"/>
      <w:bookmarkStart w:id="56" w:name="_Toc15396613"/>
      <w:r>
        <w:rPr>
          <w:rFonts w:hint="eastAsia" w:ascii="方正小标宋简体" w:hAnsi="方正小标宋简体" w:eastAsia="方正小标宋简体" w:cs="方正小标宋简体"/>
          <w:sz w:val="44"/>
          <w:szCs w:val="44"/>
        </w:rPr>
        <w:t>名</w:t>
      </w:r>
      <w:r>
        <w:rPr>
          <w:rStyle w:val="25"/>
          <w:rFonts w:hint="eastAsia" w:ascii="方正小标宋简体" w:hAnsi="方正小标宋简体" w:eastAsia="方正小标宋简体" w:cs="方正小标宋简体"/>
          <w:b w:val="0"/>
        </w:rPr>
        <w:t>词解释</w:t>
      </w:r>
      <w:bookmarkEnd w:id="55"/>
      <w:bookmarkEnd w:id="56"/>
    </w:p>
    <w:p>
      <w:pPr>
        <w:spacing w:line="600" w:lineRule="exact"/>
        <w:jc w:val="left"/>
        <w:rPr>
          <w:rFonts w:ascii="宋体"/>
          <w:b/>
          <w:sz w:val="44"/>
          <w:szCs w:val="44"/>
        </w:rPr>
      </w:pP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3"/>
        <w:spacing w:line="560" w:lineRule="exact"/>
        <w:ind w:firstLine="640" w:firstLineChars="200"/>
        <w:jc w:val="both"/>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eastAsia="仿宋_GB2312" w:cs="仿宋_GB2312"/>
          <w:color w:val="000000"/>
          <w:sz w:val="32"/>
          <w:szCs w:val="32"/>
        </w:rPr>
        <w:t>9.</w:t>
      </w:r>
      <w:r>
        <w:rPr>
          <w:rFonts w:hint="eastAsia" w:ascii="仿宋_GB2312" w:hAnsi="Calibri" w:eastAsia="仿宋_GB2312" w:cs="仿宋"/>
          <w:color w:val="000000"/>
          <w:kern w:val="0"/>
          <w:sz w:val="32"/>
          <w:szCs w:val="32"/>
        </w:rPr>
        <w:t>一般公共服务(类)党委办公厅(室)及相关机构事务(款)其他党委办公厅(室)及相关机构事务(项):指用于一个县级领导联系项目和乡村等工作经费。</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10.一般公共服务(类)其他共产党事务支出(款)其他共产党事务支出(项):指用于离退休干部党组织书记、委员工作补贴。</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11.公共安全(类)检察(款)行政运行(项):指用于检察机关人员和日常工作运行的支出。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12.公共安全(类)检察(款)其他检察支出(项):指反映除上述项目以外其他用于检察方面的支出。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13.社会保障和就业支出(类)行政事业单位离退休支出(款)机关事业单位基本养老保险缴费支出(项):指反映机关事业单位实施养老保险制度由单位缴纳的基本养老保险支出。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14.社会保障和就业支出(类)行政事业单位离退休支出(款)机关事业单位职业年金缴费支出(项):指反映机关事业单位实施职业年金制度由单位缴纳的职业年金支出。</w:t>
      </w:r>
    </w:p>
    <w:p>
      <w:pPr>
        <w:spacing w:line="56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15.卫生健康支出(类)行政事业单位医疗(款)行政单位医疗(项):指用于行政人员缴纳的医保支出。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16.基本支出：指为保障机构正常运转、完成日常工作任务而发生的人员支出和公用支出。</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17.项目支出：指在基本支出之外为完成特定行政任务和事业发展目标所发生的支出。 </w:t>
      </w:r>
    </w:p>
    <w:p>
      <w:pPr>
        <w:spacing w:line="56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18.经营支出：指事业单位在专业业务活动及其辅助活动之外开展非独立核算经营活动发生的支出。</w:t>
      </w:r>
    </w:p>
    <w:p>
      <w:pPr>
        <w:pStyle w:val="12"/>
        <w:autoSpaceDE w:val="0"/>
        <w:autoSpaceDN w:val="0"/>
        <w:adjustRightInd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color w:val="000000"/>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2"/>
        <w:autoSpaceDE w:val="0"/>
        <w:autoSpaceDN w:val="0"/>
        <w:adjustRightInd w:val="0"/>
        <w:spacing w:line="560" w:lineRule="exact"/>
        <w:ind w:firstLine="640" w:firstLineChars="200"/>
        <w:jc w:val="both"/>
        <w:rPr>
          <w:rFonts w:ascii="仿宋_GB2312" w:eastAsia="仿宋_GB2312" w:cs="仿宋_GB2312"/>
          <w:sz w:val="32"/>
          <w:szCs w:val="32"/>
        </w:rPr>
      </w:pPr>
      <w:r>
        <w:rPr>
          <w:rFonts w:hint="eastAsia" w:ascii="仿宋_GB2312" w:eastAsia="仿宋_GB2312" w:cs="仿宋_GB2312"/>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sz w:val="44"/>
          <w:szCs w:val="44"/>
        </w:rPr>
      </w:pPr>
      <w:bookmarkStart w:id="57" w:name="_Toc15396614"/>
      <w:bookmarkStart w:id="58"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560" w:lineRule="exact"/>
        <w:jc w:val="center"/>
        <w:outlineLvl w:val="0"/>
        <w:rPr>
          <w:rFonts w:ascii="黑体" w:hAnsi="黑体" w:eastAsia="黑体"/>
          <w:sz w:val="44"/>
          <w:szCs w:val="44"/>
        </w:rPr>
      </w:pPr>
    </w:p>
    <w:p>
      <w:pPr>
        <w:spacing w:line="560" w:lineRule="exact"/>
        <w:jc w:val="center"/>
        <w:outlineLvl w:val="0"/>
        <w:rPr>
          <w:rStyle w:val="25"/>
          <w:rFonts w:ascii="黑体" w:hAnsi="黑体" w:eastAsia="黑体"/>
          <w:b w:val="0"/>
        </w:rPr>
      </w:pPr>
      <w:r>
        <w:rPr>
          <w:rFonts w:hint="eastAsia" w:ascii="黑体" w:hAnsi="黑体" w:eastAsia="黑体"/>
          <w:sz w:val="44"/>
          <w:szCs w:val="44"/>
        </w:rPr>
        <w:t>第</w:t>
      </w:r>
      <w:r>
        <w:rPr>
          <w:rStyle w:val="25"/>
          <w:rFonts w:hint="eastAsia" w:ascii="黑体" w:hAnsi="黑体" w:eastAsia="黑体"/>
          <w:b w:val="0"/>
        </w:rPr>
        <w:t>四部分 附件</w:t>
      </w:r>
      <w:bookmarkEnd w:id="57"/>
    </w:p>
    <w:p>
      <w:pPr>
        <w:spacing w:line="56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spacing w:line="560"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2021年天全县人民检察院部门整体绩效评价报告</w:t>
      </w:r>
    </w:p>
    <w:p>
      <w:pPr>
        <w:pStyle w:val="2"/>
        <w:spacing w:before="93"/>
      </w:pPr>
    </w:p>
    <w:p>
      <w:pPr>
        <w:pStyle w:val="12"/>
        <w:widowControl/>
        <w:adjustRightInd w:val="0"/>
        <w:snapToGrid w:val="0"/>
        <w:spacing w:line="560" w:lineRule="exact"/>
        <w:ind w:firstLine="640" w:firstLineChars="200"/>
        <w:rPr>
          <w:rFonts w:ascii="黑体" w:hAnsi="宋体" w:eastAsia="黑体" w:cs="宋体"/>
          <w:color w:val="000000"/>
          <w:sz w:val="32"/>
          <w:szCs w:val="32"/>
          <w:shd w:val="clear" w:color="auto" w:fill="FFFFFF"/>
          <w:lang w:val="zh-CN"/>
        </w:rPr>
      </w:pPr>
      <w:r>
        <w:rPr>
          <w:rFonts w:hint="eastAsia" w:ascii="黑体" w:hAnsi="宋体" w:eastAsia="黑体" w:cs="宋体"/>
          <w:color w:val="000000"/>
          <w:sz w:val="32"/>
          <w:szCs w:val="32"/>
          <w:shd w:val="clear" w:color="auto" w:fill="FFFFFF"/>
        </w:rPr>
        <w:t>一、</w:t>
      </w:r>
      <w:r>
        <w:rPr>
          <w:rFonts w:hint="eastAsia" w:ascii="黑体" w:hAnsi="宋体" w:eastAsia="黑体" w:cs="宋体"/>
          <w:color w:val="000000"/>
          <w:sz w:val="32"/>
          <w:szCs w:val="32"/>
          <w:shd w:val="clear" w:color="auto" w:fill="FFFFFF"/>
          <w:lang w:val="zh-CN"/>
        </w:rPr>
        <w:t>部门（单位）概况</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（一）机构组成</w:t>
      </w:r>
    </w:p>
    <w:p>
      <w:pPr>
        <w:pStyle w:val="12"/>
        <w:widowControl/>
        <w:adjustRightInd w:val="0"/>
        <w:snapToGrid w:val="0"/>
        <w:spacing w:line="56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内设机构8个,办公室、政治部、第一检察部、第二检察部、第三检察部，派出(基层)机构3个, 派驻县看守所检察室、派驻始阳镇检察室,派驻仁义乡检察室。下属事业单位1个为检务保障中心。</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（二）机构职能</w:t>
      </w:r>
    </w:p>
    <w:p>
      <w:pPr>
        <w:pStyle w:val="12"/>
        <w:widowControl/>
        <w:adjustRightInd w:val="0"/>
        <w:snapToGrid w:val="0"/>
        <w:spacing w:line="56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人民检察院是国家专门的法律监督机关,与政府和法院并称一府两院,均由同级人民代表大会产生,对其负责并报告工作。检察院通过履行侦查、批准逮捕、审查起诉、支持公诉等法律监督职能,保证国家法律的统一和正确实施。</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（三）人员概况</w:t>
      </w:r>
    </w:p>
    <w:p>
      <w:pPr>
        <w:spacing w:line="560" w:lineRule="exact"/>
        <w:ind w:firstLine="640" w:firstLineChars="200"/>
        <w:rPr>
          <w:szCs w:val="21"/>
        </w:rPr>
      </w:pPr>
      <w:r>
        <w:rPr>
          <w:rFonts w:hint="eastAsia" w:ascii="仿宋_GB2312" w:hAnsi="宋体" w:eastAsia="仿宋_GB2312" w:cs="宋体"/>
          <w:color w:val="000000"/>
          <w:kern w:val="0"/>
          <w:sz w:val="32"/>
          <w:szCs w:val="32"/>
          <w:shd w:val="clear" w:color="auto" w:fill="FFFFFF"/>
        </w:rPr>
        <w:t>天全县人民检察院总编制35名,其中:行政编制28名,其他事业编制5名,工勤编制2名。2021年年末实有在职人员总数27人,其中:行政编制24名,其他事业编制3名。</w:t>
      </w:r>
    </w:p>
    <w:p>
      <w:pPr>
        <w:pStyle w:val="12"/>
        <w:widowControl/>
        <w:adjustRightInd w:val="0"/>
        <w:snapToGrid w:val="0"/>
        <w:spacing w:line="560" w:lineRule="exact"/>
        <w:ind w:firstLine="640" w:firstLineChars="200"/>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二、部门财政资金收支情况</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（一）部门财政资金收入情况</w:t>
      </w:r>
    </w:p>
    <w:p>
      <w:pPr>
        <w:spacing w:line="560" w:lineRule="exact"/>
        <w:ind w:firstLine="640" w:firstLineChars="200"/>
        <w:outlineLvl w:val="1"/>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2021年本年收入合计861.66万元，其中：一般公共预算财政拨款收入861.66万元，占100%。</w:t>
      </w:r>
    </w:p>
    <w:p>
      <w:pPr>
        <w:pStyle w:val="12"/>
        <w:widowControl/>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（二）部门财政资金支出情况</w:t>
      </w:r>
    </w:p>
    <w:p>
      <w:pPr>
        <w:pStyle w:val="12"/>
        <w:widowControl/>
        <w:adjustRightInd w:val="0"/>
        <w:snapToGrid w:val="0"/>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2021年本年支出合计1021.15万元,其中:一般公共预算财政拨款支出1021.15万元,占100%。</w:t>
      </w:r>
    </w:p>
    <w:p>
      <w:pPr>
        <w:pStyle w:val="12"/>
        <w:widowControl/>
        <w:adjustRightInd w:val="0"/>
        <w:snapToGrid w:val="0"/>
        <w:spacing w:line="560" w:lineRule="exact"/>
        <w:ind w:firstLine="640" w:firstLineChars="200"/>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三、部门整体预算绩效管理情况</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（一）部门预算管理</w:t>
      </w:r>
    </w:p>
    <w:p>
      <w:pPr>
        <w:pStyle w:val="12"/>
        <w:widowControl/>
        <w:adjustRightInd w:val="0"/>
        <w:snapToGrid w:val="0"/>
        <w:spacing w:line="560" w:lineRule="exact"/>
        <w:ind w:firstLine="640" w:firstLineChars="200"/>
        <w:rPr>
          <w:rFonts w:ascii="仿宋_GB2312" w:hAnsi="宋体" w:eastAsia="仿宋_GB2312" w:cs="宋体"/>
          <w:color w:val="000000"/>
          <w:sz w:val="32"/>
          <w:szCs w:val="32"/>
          <w:shd w:val="clear" w:color="auto" w:fill="FFFFFF"/>
          <w:lang w:val="zh-CN"/>
        </w:rPr>
      </w:pPr>
      <w:r>
        <w:rPr>
          <w:rFonts w:hint="eastAsia" w:ascii="仿宋_GB2312" w:hAnsi="宋体" w:eastAsia="仿宋_GB2312" w:cs="宋体"/>
          <w:color w:val="000000"/>
          <w:sz w:val="32"/>
          <w:szCs w:val="32"/>
          <w:shd w:val="clear" w:color="auto" w:fill="FFFFFF"/>
          <w:lang w:val="zh-CN"/>
        </w:rPr>
        <w:t>包括部门绩效目标制定、目标实现、预算编制准确、支出控制、预算动态调整、执行进度、预算完成情况和违规记录等情况。</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（二）结果应用情况</w:t>
      </w:r>
    </w:p>
    <w:p>
      <w:pPr>
        <w:pStyle w:val="12"/>
        <w:widowControl/>
        <w:adjustRightInd w:val="0"/>
        <w:snapToGrid w:val="0"/>
        <w:spacing w:line="56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天全县人民检察院严格执行财政财务管理制度,按要求进行政府采购;认真做好非税账务的管理,每月按时对账保证账目清晰;严格执行内部控制制度,定期做好财政财务信息公开,自觉接受财政监督检查,对各级检查或审计提出的问题进行及时整改。</w:t>
      </w:r>
    </w:p>
    <w:p>
      <w:pPr>
        <w:pStyle w:val="12"/>
        <w:widowControl/>
        <w:adjustRightInd w:val="0"/>
        <w:snapToGrid w:val="0"/>
        <w:spacing w:line="560" w:lineRule="exact"/>
        <w:ind w:firstLine="640" w:firstLineChars="200"/>
        <w:rPr>
          <w:rFonts w:ascii="黑体" w:hAnsi="宋体" w:eastAsia="黑体" w:cs="宋体"/>
          <w:color w:val="000000"/>
          <w:sz w:val="32"/>
          <w:szCs w:val="32"/>
          <w:shd w:val="clear" w:color="auto" w:fill="FFFFFF"/>
        </w:rPr>
      </w:pPr>
      <w:r>
        <w:rPr>
          <w:rFonts w:hint="eastAsia" w:ascii="黑体" w:hAnsi="宋体" w:eastAsia="黑体" w:cs="宋体"/>
          <w:color w:val="000000"/>
          <w:sz w:val="32"/>
          <w:szCs w:val="32"/>
          <w:shd w:val="clear" w:color="auto" w:fill="FFFFFF"/>
        </w:rPr>
        <w:t>四、评价结论及建议</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（一）评价结论</w:t>
      </w:r>
    </w:p>
    <w:p>
      <w:pPr>
        <w:pStyle w:val="12"/>
        <w:widowControl/>
        <w:adjustRightInd w:val="0"/>
        <w:snapToGrid w:val="0"/>
        <w:spacing w:line="560" w:lineRule="exact"/>
        <w:ind w:firstLine="640" w:firstLineChars="200"/>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总体来看,一方面天全县人民检察院预算编制及决算客观准确,支出管理规范有序,财务管理制度更趋完善,整体实现了年初设定的绩效目标,保障了单位的正常运转;另一方面进一步树立绩效管理理念、强化主体意识、落实工作责任,切实将绩效评价作为改进工作管理、提升工作水平、提高资金效益的有力抓手。</w:t>
      </w:r>
    </w:p>
    <w:p>
      <w:pPr>
        <w:pStyle w:val="12"/>
        <w:widowControl/>
        <w:adjustRightInd w:val="0"/>
        <w:snapToGrid w:val="0"/>
        <w:spacing w:line="560" w:lineRule="exact"/>
        <w:ind w:firstLine="640" w:firstLineChars="200"/>
        <w:rPr>
          <w:rFonts w:hint="eastAsia"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（二）存在问题</w:t>
      </w:r>
    </w:p>
    <w:p>
      <w:pPr>
        <w:pStyle w:val="12"/>
        <w:widowControl/>
        <w:adjustRightInd w:val="0"/>
        <w:snapToGrid w:val="0"/>
        <w:spacing w:line="560" w:lineRule="exact"/>
        <w:ind w:firstLine="640" w:firstLineChars="200"/>
        <w:rPr>
          <w:rFonts w:hint="eastAsia"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一是预算编制中的目标管理还有等进一步加强,制度有待进</w:t>
      </w:r>
    </w:p>
    <w:p>
      <w:pPr>
        <w:pStyle w:val="12"/>
        <w:widowControl/>
        <w:adjustRightInd w:val="0"/>
        <w:snapToGrid w:val="0"/>
        <w:spacing w:line="560" w:lineRule="exact"/>
        <w:rPr>
          <w:rFonts w:ascii="仿宋_GB2312" w:hAnsi="宋体" w:eastAsia="仿宋_GB2312" w:cs="宋体"/>
          <w:color w:val="000000"/>
          <w:sz w:val="32"/>
          <w:szCs w:val="32"/>
          <w:shd w:val="clear" w:color="auto" w:fill="FFFFFF"/>
        </w:rPr>
      </w:pPr>
      <w:r>
        <w:rPr>
          <w:rFonts w:hint="eastAsia" w:ascii="仿宋_GB2312" w:hAnsi="宋体" w:eastAsia="仿宋_GB2312" w:cs="宋体"/>
          <w:color w:val="000000"/>
          <w:sz w:val="32"/>
          <w:szCs w:val="32"/>
          <w:shd w:val="clear" w:color="auto" w:fill="FFFFFF"/>
        </w:rPr>
        <w:t>一步建立健全;二是绩效管理指标、工作方法、管理制度等尚在完善中,各类基础数据、绩效运行信息采集工作量大,效率比较低;三是内部控制和监督系统还需要继续完善。</w:t>
      </w:r>
    </w:p>
    <w:p>
      <w:pPr>
        <w:pStyle w:val="12"/>
        <w:widowControl/>
        <w:adjustRightInd w:val="0"/>
        <w:snapToGrid w:val="0"/>
        <w:spacing w:line="560" w:lineRule="exact"/>
        <w:ind w:firstLine="640" w:firstLineChars="200"/>
        <w:rPr>
          <w:rFonts w:ascii="楷体" w:hAnsi="楷体" w:eastAsia="楷体" w:cs="宋体"/>
          <w:color w:val="000000"/>
          <w:sz w:val="32"/>
          <w:szCs w:val="32"/>
          <w:shd w:val="clear" w:color="auto" w:fill="FFFFFF"/>
        </w:rPr>
      </w:pPr>
      <w:r>
        <w:rPr>
          <w:rFonts w:hint="eastAsia" w:ascii="楷体" w:hAnsi="楷体" w:eastAsia="楷体" w:cs="宋体"/>
          <w:color w:val="000000"/>
          <w:sz w:val="32"/>
          <w:szCs w:val="32"/>
          <w:shd w:val="clear" w:color="auto" w:fill="FFFFFF"/>
        </w:rPr>
        <w:t>（三）改进建议</w:t>
      </w:r>
    </w:p>
    <w:p>
      <w:pPr>
        <w:spacing w:line="560" w:lineRule="exact"/>
        <w:ind w:firstLine="640" w:firstLineChars="200"/>
        <w:rPr>
          <w:szCs w:val="21"/>
        </w:rPr>
      </w:pPr>
      <w:r>
        <w:rPr>
          <w:rFonts w:hint="eastAsia" w:ascii="仿宋_GB2312" w:eastAsia="仿宋_GB2312" w:cs="仿宋_GB2312"/>
          <w:sz w:val="32"/>
          <w:szCs w:val="32"/>
        </w:rPr>
        <w:t>一是进一步加强预算编制中的目标管理,加强财务管理,严格财务审查,细化预算编制工作提高预算编制的合理性,持续抓好“三公”经费的管理,合理压缩“三公”经费的支出;二是进一步全面建立健全相关制度并在实际中运用,按县财政预决算管理要求制定详细的管理制度,不断改进和细化预决算编制、分析、执行工作,不断提高单位财务管理水平以及工作效率;三是加强单位内部控制和监督制度和机制的建立和健全工作;四是进一步加强学习,建立健全学习制度,形成人人学法用法的良好氛围,通过学习创新工作方法、思路,进一步提高工作效率。</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line="560" w:lineRule="exact"/>
        <w:rPr>
          <w:rFonts w:ascii="黑体" w:hAnsi="黑体" w:eastAsia="黑体" w:cs="黑体"/>
          <w:sz w:val="32"/>
          <w:szCs w:val="32"/>
          <w:lang w:val="zh-CN"/>
        </w:rPr>
      </w:pPr>
      <w:r>
        <w:rPr>
          <w:rFonts w:hint="eastAsia" w:ascii="黑体" w:hAnsi="黑体" w:eastAsia="黑体" w:cs="黑体"/>
          <w:sz w:val="32"/>
          <w:szCs w:val="32"/>
          <w:shd w:val="clear" w:color="auto" w:fill="FFFFFF"/>
          <w:lang w:val="zh-CN"/>
        </w:rPr>
        <w:t>附件：</w:t>
      </w:r>
    </w:p>
    <w:p>
      <w:pPr>
        <w:spacing w:line="560" w:lineRule="exact"/>
        <w:ind w:firstLine="883"/>
        <w:jc w:val="center"/>
        <w:rPr>
          <w:rFonts w:ascii="仿宋_GB2312" w:hAnsi="宋体" w:eastAsia="仿宋_GB2312"/>
          <w:sz w:val="44"/>
          <w:szCs w:val="44"/>
          <w:lang w:val="zh-CN"/>
        </w:rPr>
      </w:pPr>
      <w:r>
        <w:rPr>
          <w:rFonts w:eastAsia="方正小标宋简体"/>
          <w:sz w:val="44"/>
          <w:szCs w:val="44"/>
        </w:rPr>
        <w:t>2021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zh-CN"/>
        </w:rPr>
        <w:t>专项预算项目支出绩效自评报告</w:t>
      </w:r>
    </w:p>
    <w:p>
      <w:pPr>
        <w:spacing w:line="560" w:lineRule="exact"/>
        <w:ind w:firstLine="640"/>
        <w:jc w:val="center"/>
        <w:rPr>
          <w:rFonts w:ascii="宋体" w:hAnsi="宋体"/>
          <w:sz w:val="32"/>
          <w:szCs w:val="32"/>
          <w:lang w:val="zh-CN"/>
        </w:rPr>
      </w:pPr>
    </w:p>
    <w:p>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zh-CN"/>
        </w:rPr>
        <w:t>说明项目主管部门在该项目管理中的职能。</w:t>
      </w:r>
    </w:p>
    <w:p>
      <w:pPr>
        <w:pStyle w:val="2"/>
        <w:spacing w:before="93" w:line="560" w:lineRule="exact"/>
        <w:ind w:firstLine="640" w:firstLineChars="200"/>
        <w:rPr>
          <w:lang w:val="zh-CN"/>
        </w:rPr>
      </w:pPr>
      <w:r>
        <w:rPr>
          <w:rFonts w:hint="eastAsia" w:hAnsi="宋体"/>
          <w:kern w:val="2"/>
          <w:sz w:val="32"/>
          <w:szCs w:val="32"/>
        </w:rPr>
        <w:t>2.天全县人民检察院负责管理该项目的运行实施。</w:t>
      </w:r>
    </w:p>
    <w:p>
      <w:pPr>
        <w:adjustRightInd w:val="0"/>
        <w:snapToGrid w:val="0"/>
        <w:spacing w:line="560" w:lineRule="exact"/>
        <w:rPr>
          <w:rFonts w:ascii="仿宋_GB2312" w:hAnsi="宋体" w:eastAsia="仿宋_GB2312"/>
          <w:sz w:val="32"/>
          <w:szCs w:val="32"/>
          <w:lang w:val="zh-CN"/>
        </w:rPr>
      </w:pPr>
      <w:r>
        <w:rPr>
          <w:rFonts w:hint="eastAsia" w:ascii="仿宋_GB2312" w:hAnsi="宋体" w:eastAsia="仿宋_GB2312"/>
          <w:sz w:val="32"/>
          <w:szCs w:val="32"/>
          <w:lang w:val="zh-CN"/>
        </w:rPr>
        <w:t>项目立项、资金申报的依据。</w:t>
      </w:r>
    </w:p>
    <w:p>
      <w:pPr>
        <w:adjustRightInd w:val="0"/>
        <w:snapToGrid w:val="0"/>
        <w:spacing w:line="560" w:lineRule="exact"/>
        <w:ind w:firstLine="640" w:firstLineChars="200"/>
        <w:rPr>
          <w:lang w:val="zh-CN"/>
        </w:rPr>
      </w:pPr>
      <w:r>
        <w:rPr>
          <w:rFonts w:hint="eastAsia" w:ascii="仿宋_GB2312" w:hAnsi="宋体" w:eastAsia="仿宋_GB2312" w:cs="仿宋_GB2312"/>
          <w:sz w:val="32"/>
          <w:szCs w:val="32"/>
        </w:rPr>
        <w:t>根据实际情况设立该项目，按照最高检察院和省、市检察院工作要求，并经县委财经会、县政府常务会同意，我院将正式启动基层检察院建设工作，加强“12309”检察服务中心、智能办案工作区、办案指挥中心、未成年人观护帮扶警示教育基地、视频会议室、检察宣告室、野生动物一体化保护协作中心建设等基础改造和功能完善，同步开展“智慧检务”和检察文化建设，不断夯实检察工作发展基础所申请。</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资金管理办法制定情况，资金支持具体项目的条件、范围与支持方式概况。</w:t>
      </w:r>
    </w:p>
    <w:p>
      <w:pPr>
        <w:pStyle w:val="2"/>
        <w:spacing w:before="93"/>
        <w:ind w:firstLine="640" w:firstLineChars="200"/>
        <w:rPr>
          <w:sz w:val="32"/>
          <w:szCs w:val="32"/>
        </w:rPr>
      </w:pPr>
      <w:r>
        <w:rPr>
          <w:rFonts w:hint="eastAsia"/>
          <w:sz w:val="32"/>
          <w:szCs w:val="32"/>
        </w:rPr>
        <w:t>基层院建设启动资金按照预算下达情况，根据工作进度，及时拨付资金，确保基层院建设顺利完成。</w:t>
      </w:r>
    </w:p>
    <w:p>
      <w:pPr>
        <w:adjustRightInd w:val="0"/>
        <w:snapToGrid w:val="0"/>
        <w:spacing w:line="560" w:lineRule="exact"/>
        <w:ind w:left="720"/>
        <w:rPr>
          <w:lang w:val="zh-CN"/>
        </w:rPr>
      </w:pPr>
      <w:r>
        <w:rPr>
          <w:rFonts w:hint="eastAsia" w:ascii="仿宋_GB2312" w:hAnsi="宋体" w:eastAsia="仿宋_GB2312"/>
          <w:sz w:val="32"/>
          <w:szCs w:val="32"/>
        </w:rPr>
        <w:t>4.</w:t>
      </w:r>
      <w:r>
        <w:rPr>
          <w:rFonts w:hint="eastAsia" w:ascii="仿宋_GB2312" w:hAnsi="宋体" w:eastAsia="仿宋_GB2312"/>
          <w:sz w:val="32"/>
          <w:szCs w:val="32"/>
          <w:lang w:val="zh-CN"/>
        </w:rPr>
        <w:t>资金分配的原则及考虑因素。</w:t>
      </w:r>
    </w:p>
    <w:p>
      <w:pPr>
        <w:pStyle w:val="2"/>
        <w:spacing w:before="93"/>
        <w:ind w:firstLine="640" w:firstLineChars="200"/>
        <w:rPr>
          <w:sz w:val="32"/>
          <w:szCs w:val="32"/>
        </w:rPr>
      </w:pPr>
      <w:r>
        <w:rPr>
          <w:rFonts w:hint="eastAsia"/>
          <w:sz w:val="32"/>
          <w:szCs w:val="32"/>
          <w:lang w:val="zh-CN"/>
        </w:rPr>
        <w:t>按照最高检察院和省、市检察院工作要求，并经县委财经会、县政府常务会同意，启动基层检察院建设工作，启动资金</w:t>
      </w:r>
      <w:r>
        <w:rPr>
          <w:rFonts w:hint="eastAsia"/>
          <w:sz w:val="32"/>
          <w:szCs w:val="32"/>
        </w:rPr>
        <w:t>150万元。</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w:t>
      </w:r>
    </w:p>
    <w:p>
      <w:pPr>
        <w:pStyle w:val="2"/>
        <w:spacing w:before="93" w:line="560" w:lineRule="exact"/>
        <w:ind w:firstLine="640" w:firstLineChars="200"/>
        <w:rPr>
          <w:lang w:val="zh-CN"/>
        </w:rPr>
      </w:pPr>
      <w:r>
        <w:rPr>
          <w:rFonts w:hint="eastAsia" w:hAnsi="宋体"/>
          <w:sz w:val="32"/>
          <w:szCs w:val="32"/>
          <w:lang w:val="zh-CN"/>
        </w:rPr>
        <w:t>顺利开展基层检察院建设工作。</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2．项目应实现的具体绩效目标，包括目标的量化、细化情况以及项目实施进度计划等。</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spacing w:line="560" w:lineRule="exact"/>
        <w:ind w:firstLine="640" w:firstLineChars="200"/>
        <w:rPr>
          <w:lang w:val="zh-CN"/>
        </w:rPr>
      </w:pPr>
      <w:r>
        <w:rPr>
          <w:rFonts w:hint="eastAsia" w:ascii="仿宋_GB2312" w:hAnsi="宋体" w:eastAsia="仿宋_GB2312" w:cs="仿宋_GB2312"/>
          <w:sz w:val="32"/>
          <w:szCs w:val="32"/>
        </w:rPr>
        <w:t>由天全县人民检察院制定项目实施计划,天全县人民检察院党组集体决策。申报内容与实际相符，申报目标合理可行。</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adjustRightInd w:val="0"/>
        <w:snapToGrid w:val="0"/>
        <w:spacing w:line="560" w:lineRule="exact"/>
        <w:ind w:firstLine="720"/>
        <w:rPr>
          <w:rFonts w:ascii="仿宋_GB2312" w:hAnsi="宋体" w:eastAsia="仿宋_GB2312" w:cs="仿宋_GB2312"/>
          <w:sz w:val="32"/>
          <w:szCs w:val="32"/>
        </w:rPr>
      </w:pPr>
      <w:r>
        <w:rPr>
          <w:rFonts w:hint="eastAsia" w:ascii="仿宋_GB2312" w:hAnsi="宋体" w:eastAsia="仿宋_GB2312" w:cs="仿宋_GB2312"/>
          <w:sz w:val="32"/>
          <w:szCs w:val="32"/>
        </w:rPr>
        <w:t>步骤包括：提出问题、筹划准备、深入调查、收集资料、分析研究、编制项目后评价报告。方法包括目标的量化、细化情况以及项目实施进度计划等。</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560" w:lineRule="exact"/>
        <w:ind w:firstLine="72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基层院建设启动资金经县委财经会、县政府常务会同意，纳入本部门2021年度预算，符合相关资金管理办法。</w:t>
      </w:r>
    </w:p>
    <w:p>
      <w:pPr>
        <w:numPr>
          <w:ilvl w:val="0"/>
          <w:numId w:val="4"/>
        </w:num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资金计划、到位及使用情况</w:t>
      </w:r>
    </w:p>
    <w:p>
      <w:pPr>
        <w:adjustRightInd w:val="0"/>
        <w:snapToGrid w:val="0"/>
        <w:spacing w:line="560" w:lineRule="exact"/>
        <w:ind w:firstLine="640" w:firstLineChars="200"/>
        <w:rPr>
          <w:rFonts w:ascii="仿宋_GB2312" w:hAnsi="仿宋_GB2312" w:eastAsia="仿宋_GB2312" w:cs="仿宋_GB2312"/>
          <w:color w:val="FF0000"/>
          <w:sz w:val="32"/>
          <w:szCs w:val="32"/>
          <w:shd w:val="clear" w:color="auto" w:fill="FFFFFF"/>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shd w:val="clear" w:color="auto" w:fill="FFFFFF"/>
        </w:rPr>
        <w:t>基层院建设项目启动资金计划150万元，为县级财政资金。</w:t>
      </w:r>
    </w:p>
    <w:p>
      <w:pPr>
        <w:adjustRightInd w:val="0"/>
        <w:snapToGrid w:val="0"/>
        <w:spacing w:line="560" w:lineRule="exact"/>
        <w:ind w:firstLine="720"/>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lang w:val="zh-CN"/>
        </w:rPr>
        <w:t>2．资金到位。</w:t>
      </w:r>
      <w:r>
        <w:rPr>
          <w:rFonts w:hint="eastAsia" w:ascii="仿宋_GB2312" w:hAnsi="仿宋_GB2312" w:eastAsia="仿宋_GB2312" w:cs="仿宋_GB2312"/>
          <w:sz w:val="32"/>
          <w:szCs w:val="32"/>
          <w:shd w:val="clear" w:color="auto" w:fill="FFFFFF"/>
        </w:rPr>
        <w:t>基层院建设项目启动资金实际到付150万元，资金到位率、到位及时性与资金计划相符。</w:t>
      </w:r>
    </w:p>
    <w:p>
      <w:pPr>
        <w:adjustRightInd w:val="0"/>
        <w:snapToGrid w:val="0"/>
        <w:spacing w:line="560" w:lineRule="exact"/>
        <w:ind w:firstLine="720"/>
        <w:rPr>
          <w:rFonts w:ascii="仿宋_GB2312" w:hAnsi="仿宋_GB2312" w:eastAsia="仿宋_GB2312" w:cs="仿宋_GB2312"/>
          <w:sz w:val="32"/>
          <w:szCs w:val="32"/>
          <w:shd w:val="clear" w:color="auto" w:fill="FFFFFF"/>
          <w:lang w:val="zh-CN"/>
        </w:rPr>
      </w:pPr>
      <w:r>
        <w:rPr>
          <w:rFonts w:hint="eastAsia" w:ascii="仿宋_GB2312" w:hAnsi="仿宋_GB2312" w:eastAsia="仿宋_GB2312" w:cs="仿宋_GB2312"/>
          <w:sz w:val="32"/>
          <w:szCs w:val="32"/>
          <w:lang w:val="zh-CN"/>
        </w:rPr>
        <w:t>3．资金使用。</w:t>
      </w:r>
      <w:r>
        <w:rPr>
          <w:rFonts w:hint="eastAsia" w:ascii="仿宋_GB2312" w:hAnsi="仿宋_GB2312" w:eastAsia="仿宋_GB2312" w:cs="仿宋_GB2312"/>
          <w:sz w:val="32"/>
          <w:szCs w:val="32"/>
          <w:shd w:val="clear" w:color="auto" w:fill="FFFFFF"/>
        </w:rPr>
        <w:t>基层院建设项目资金支付范围、支付标准、支付进度、支付依据合规合法、与预算相符。</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spacing w:line="560" w:lineRule="exact"/>
        <w:ind w:firstLine="640" w:firstLineChars="200"/>
      </w:pPr>
      <w:r>
        <w:rPr>
          <w:rFonts w:hint="eastAsia" w:ascii="仿宋_GB2312" w:hAnsi="宋体" w:eastAsia="仿宋_GB2312" w:cs="仿宋_GB2312"/>
          <w:sz w:val="32"/>
          <w:szCs w:val="32"/>
        </w:rPr>
        <w:t>该项目实施单位财务管理制度健全，严格执行财务管理制度，账务处理及时，会计核算规范。</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60" w:lineRule="exact"/>
        <w:ind w:firstLine="720"/>
        <w:rPr>
          <w:rFonts w:ascii="楷体_GB2312" w:hAnsi="宋体" w:eastAsia="楷体_GB2312" w:cs="楷体_GB2312"/>
          <w:sz w:val="32"/>
          <w:szCs w:val="32"/>
          <w:lang w:val="zh-CN"/>
        </w:rPr>
      </w:pPr>
      <w:r>
        <w:rPr>
          <w:rFonts w:hint="eastAsia" w:ascii="楷体_GB2312" w:hAnsi="宋体" w:eastAsia="楷体_GB2312" w:cs="楷体_GB2312"/>
          <w:sz w:val="32"/>
          <w:szCs w:val="32"/>
          <w:lang w:val="zh-CN"/>
        </w:rPr>
        <w:t>（一）项目组织架构及实施流程</w:t>
      </w:r>
    </w:p>
    <w:p>
      <w:pPr>
        <w:adjustRightInd w:val="0"/>
        <w:snapToGrid w:val="0"/>
        <w:spacing w:line="560" w:lineRule="exact"/>
        <w:ind w:firstLine="720"/>
        <w:rPr>
          <w:rFonts w:ascii="仿宋_GB2312" w:hAnsi="Calibri" w:eastAsia="仿宋_GB2312" w:cs="仿宋_GB2312"/>
          <w:sz w:val="32"/>
          <w:szCs w:val="32"/>
        </w:rPr>
      </w:pPr>
      <w:r>
        <w:rPr>
          <w:rFonts w:hint="eastAsia" w:ascii="仿宋_GB2312" w:hAnsi="Calibri" w:eastAsia="仿宋_GB2312" w:cs="仿宋_GB2312"/>
          <w:sz w:val="32"/>
          <w:szCs w:val="32"/>
        </w:rPr>
        <w:t>由天全县人民检察院制定项目实施计划,天全县人民检</w:t>
      </w:r>
      <w:r>
        <w:rPr>
          <w:rFonts w:hint="eastAsia" w:ascii="仿宋_GB2312" w:hAnsi="宋体" w:eastAsia="仿宋_GB2312" w:cs="仿宋_GB2312"/>
          <w:sz w:val="32"/>
          <w:szCs w:val="32"/>
        </w:rPr>
        <w:t>察院党组集体决策。</w:t>
      </w:r>
    </w:p>
    <w:p>
      <w:pPr>
        <w:adjustRightInd w:val="0"/>
        <w:snapToGrid w:val="0"/>
        <w:spacing w:line="560" w:lineRule="exact"/>
        <w:ind w:firstLine="720"/>
        <w:rPr>
          <w:rFonts w:ascii="仿宋_GB2312" w:hAnsi="宋体" w:eastAsia="仿宋_GB2312" w:cs="仿宋_GB2312"/>
          <w:sz w:val="32"/>
          <w:szCs w:val="32"/>
        </w:rPr>
      </w:pPr>
      <w:r>
        <w:rPr>
          <w:rFonts w:hint="eastAsia" w:ascii="楷体_GB2312" w:hAnsi="宋体" w:eastAsia="楷体_GB2312" w:cs="楷体_GB2312"/>
          <w:sz w:val="32"/>
          <w:szCs w:val="32"/>
          <w:lang w:val="zh-CN"/>
        </w:rPr>
        <w:t>（二）项目管理情况。</w:t>
      </w:r>
      <w:r>
        <w:rPr>
          <w:rFonts w:hint="eastAsia" w:ascii="仿宋_GB2312" w:hAnsi="宋体" w:eastAsia="仿宋_GB2312" w:cs="仿宋_GB2312"/>
          <w:sz w:val="32"/>
          <w:szCs w:val="32"/>
        </w:rPr>
        <w:t>天全县人民检察院严格执行相关法律法规及项目管理制度等情况，如招投标、政府采购、项目公示制等相关规定。</w:t>
      </w:r>
    </w:p>
    <w:p>
      <w:pPr>
        <w:adjustRightInd w:val="0"/>
        <w:snapToGrid w:val="0"/>
        <w:spacing w:line="560" w:lineRule="exact"/>
        <w:ind w:firstLine="720"/>
        <w:rPr>
          <w:rFonts w:ascii="仿宋_GB2312" w:hAnsi="宋体" w:eastAsia="仿宋_GB2312" w:cs="仿宋_GB2312"/>
          <w:sz w:val="32"/>
          <w:szCs w:val="32"/>
        </w:rPr>
      </w:pPr>
      <w:r>
        <w:rPr>
          <w:rFonts w:hint="eastAsia" w:ascii="楷体_GB2312" w:hAnsi="宋体" w:eastAsia="楷体_GB2312" w:cs="楷体_GB2312"/>
          <w:sz w:val="32"/>
          <w:szCs w:val="32"/>
          <w:lang w:val="zh-CN"/>
        </w:rPr>
        <w:t>（三）项目监管情况。</w:t>
      </w:r>
      <w:r>
        <w:rPr>
          <w:rFonts w:hint="eastAsia" w:ascii="仿宋_GB2312" w:hAnsi="宋体" w:eastAsia="仿宋_GB2312" w:cs="仿宋_GB2312"/>
          <w:sz w:val="32"/>
          <w:szCs w:val="32"/>
        </w:rPr>
        <w:t>天全县人民检察院为加强项目管理所采取自我监督和民众监管手段、监管程序全程公开、监管工作公开透明，严格按照实际及预算计划实施，实现了较高的社会满意度。</w:t>
      </w:r>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adjustRightInd w:val="0"/>
        <w:snapToGrid w:val="0"/>
        <w:spacing w:line="560" w:lineRule="exact"/>
        <w:ind w:firstLine="72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包括项目按时实施，按资金支付计划完成支付，无资金结余，无违规记录。</w:t>
      </w:r>
    </w:p>
    <w:p>
      <w:pPr>
        <w:keepNext w:val="0"/>
        <w:keepLines w:val="0"/>
        <w:pageBreakBefore w:val="0"/>
        <w:widowControl w:val="0"/>
        <w:kinsoku/>
        <w:wordWrap/>
        <w:overflowPunct/>
        <w:topLinePunct w:val="0"/>
        <w:autoSpaceDE/>
        <w:autoSpaceDN/>
        <w:bidi w:val="0"/>
        <w:adjustRightInd w:val="0"/>
        <w:snapToGrid w:val="0"/>
        <w:spacing w:line="520" w:lineRule="exact"/>
        <w:ind w:firstLine="720"/>
        <w:textAlignment w:val="auto"/>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52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该项目的实施加强了“12309”检察服务中心、智能办案工</w:t>
      </w:r>
    </w:p>
    <w:p>
      <w:pPr>
        <w:adjustRightInd w:val="0"/>
        <w:snapToGrid w:val="0"/>
        <w:spacing w:line="560" w:lineRule="exact"/>
        <w:rPr>
          <w:rFonts w:ascii="仿宋_GB2312" w:hAnsi="宋体" w:eastAsia="仿宋_GB2312"/>
          <w:sz w:val="32"/>
          <w:szCs w:val="32"/>
          <w:lang w:val="zh-CN"/>
        </w:rPr>
      </w:pPr>
      <w:r>
        <w:rPr>
          <w:rFonts w:hint="eastAsia" w:ascii="仿宋_GB2312" w:hAnsi="宋体" w:eastAsia="仿宋_GB2312"/>
          <w:sz w:val="32"/>
          <w:szCs w:val="32"/>
          <w:lang w:val="zh-CN"/>
        </w:rPr>
        <w:t>作区、办案指挥中心、未成年人观护帮扶警示教育基地、视频会议室、检察宣告室、</w:t>
      </w:r>
      <w:bookmarkStart w:id="72" w:name="_GoBack"/>
      <w:bookmarkEnd w:id="72"/>
      <w:r>
        <w:rPr>
          <w:rFonts w:hint="eastAsia" w:ascii="仿宋_GB2312" w:hAnsi="宋体" w:eastAsia="仿宋_GB2312"/>
          <w:sz w:val="32"/>
          <w:szCs w:val="32"/>
          <w:lang w:val="zh-CN"/>
        </w:rPr>
        <w:t>野生动物一体化保护协作中心建设等基础改造和功能完善，同步开展“智慧检务”和检察文化建设，不断夯实检察工作发展基础。</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60" w:lineRule="exact"/>
        <w:ind w:firstLine="720"/>
        <w:rPr>
          <w:rFonts w:ascii="楷体_GB2312" w:hAnsi="宋体" w:eastAsia="楷体_GB2312" w:cs="楷体_GB2312"/>
          <w:sz w:val="32"/>
          <w:szCs w:val="32"/>
          <w:lang w:val="zh-CN"/>
        </w:rPr>
      </w:pPr>
      <w:r>
        <w:rPr>
          <w:rFonts w:hint="eastAsia" w:ascii="楷体_GB2312" w:hAnsi="宋体" w:eastAsia="楷体_GB2312" w:cs="楷体_GB2312"/>
          <w:sz w:val="32"/>
          <w:szCs w:val="32"/>
          <w:lang w:val="zh-CN"/>
        </w:rPr>
        <w:t>（一）评价结论</w:t>
      </w:r>
    </w:p>
    <w:p>
      <w:pPr>
        <w:spacing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总体来看,一方面天全县人民检察院预算编制及决算客观准确,支出管理规范有序,财务管理制度更趋完善,整体实现了年初设定的绩效目标,保障了单位的正常运转;另一方面进一步树立绩效管理理念、强化主体意识、落实工作责任,切实将绩效评价作为改进工作管理、提升工作水平、提高资金效益的有力抓手。</w:t>
      </w:r>
    </w:p>
    <w:p>
      <w:pPr>
        <w:adjustRightInd w:val="0"/>
        <w:snapToGrid w:val="0"/>
        <w:spacing w:line="560" w:lineRule="exact"/>
        <w:ind w:firstLine="720"/>
        <w:rPr>
          <w:rFonts w:ascii="楷体_GB2312" w:hAnsi="宋体" w:eastAsia="楷体_GB2312" w:cs="楷体_GB2312"/>
          <w:b/>
          <w:sz w:val="32"/>
          <w:szCs w:val="32"/>
          <w:lang w:val="zh-CN"/>
        </w:rPr>
      </w:pPr>
      <w:r>
        <w:rPr>
          <w:rFonts w:hint="eastAsia" w:ascii="楷体_GB2312" w:hAnsi="宋体" w:eastAsia="楷体_GB2312" w:cs="楷体_GB2312"/>
          <w:sz w:val="32"/>
          <w:szCs w:val="32"/>
          <w:lang w:val="zh-CN"/>
        </w:rPr>
        <w:t>（二）存在的问题</w:t>
      </w:r>
    </w:p>
    <w:p>
      <w:pPr>
        <w:spacing w:line="560" w:lineRule="exact"/>
        <w:ind w:firstLine="640" w:firstLineChars="200"/>
      </w:pPr>
      <w:r>
        <w:rPr>
          <w:rFonts w:hint="eastAsia" w:ascii="仿宋_GB2312" w:hAnsi="宋体" w:eastAsia="仿宋_GB2312" w:cs="仿宋_GB2312"/>
          <w:sz w:val="32"/>
          <w:szCs w:val="32"/>
        </w:rPr>
        <w:t>一是预算编制中的目标管理还有等进一步加强,制度有待进一步建立健全;二是绩效管理指标、工作方法、管理制度等尚在完善中,各类基础数据、绩效运行信息采集工作量大,效率比较低;三是内部控制和监督系统还需要继续完善。</w:t>
      </w:r>
    </w:p>
    <w:p>
      <w:pPr>
        <w:adjustRightInd w:val="0"/>
        <w:snapToGrid w:val="0"/>
        <w:spacing w:line="560" w:lineRule="exact"/>
        <w:ind w:firstLine="720"/>
        <w:rPr>
          <w:rFonts w:ascii="楷体_GB2312" w:hAnsi="宋体" w:eastAsia="楷体_GB2312" w:cs="楷体_GB2312"/>
          <w:sz w:val="32"/>
          <w:szCs w:val="32"/>
          <w:lang w:val="zh-CN"/>
        </w:rPr>
      </w:pPr>
      <w:r>
        <w:rPr>
          <w:rFonts w:hint="eastAsia" w:ascii="楷体_GB2312" w:hAnsi="宋体" w:eastAsia="楷体_GB2312" w:cs="楷体_GB2312"/>
          <w:sz w:val="32"/>
          <w:szCs w:val="32"/>
          <w:lang w:val="zh-CN"/>
        </w:rPr>
        <w:t>（三）相关建议</w:t>
      </w:r>
    </w:p>
    <w:p>
      <w:pPr>
        <w:spacing w:line="54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一是进一步加强预算编制中的目标管理,加强财务管理,严格财务审查,细化预算编制工作提高预算编制的合理性,持续抓好“三公”经费的管理,合理压缩“三公”经费的支出;二是进一步全面建立健全相关制度并在实际中运用,按县财政预决算管理要求制定详细的管理制度,不断改进和细化预决算编制、分析、执行工作,不断提高单位财务管理水平以及工作效率;三是加强</w:t>
      </w:r>
    </w:p>
    <w:p>
      <w:pPr>
        <w:spacing w:line="560" w:lineRule="exact"/>
      </w:pPr>
      <w:r>
        <w:rPr>
          <w:rFonts w:hint="eastAsia" w:ascii="仿宋_GB2312" w:hAnsi="宋体" w:eastAsia="仿宋_GB2312" w:cs="仿宋_GB2312"/>
          <w:sz w:val="32"/>
          <w:szCs w:val="32"/>
        </w:rPr>
        <w:t>单位内部控制和监督制度和机制的建立和健全工作;四是进一步加强学习,建立健全学习制度,形成人人学法用法的良好氛围,通过学习创新工作方法、思路,进一步提高工作效率。</w:t>
      </w:r>
    </w:p>
    <w:tbl>
      <w:tblPr>
        <w:tblStyle w:val="13"/>
        <w:tblpPr w:leftFromText="180" w:rightFromText="180" w:vertAnchor="text" w:horzAnchor="page" w:tblpX="1165" w:tblpY="242"/>
        <w:tblOverlap w:val="never"/>
        <w:tblW w:w="10811" w:type="dxa"/>
        <w:tblInd w:w="0" w:type="dxa"/>
        <w:tblLayout w:type="fixed"/>
        <w:tblCellMar>
          <w:top w:w="0" w:type="dxa"/>
          <w:left w:w="108" w:type="dxa"/>
          <w:bottom w:w="0" w:type="dxa"/>
          <w:right w:w="108" w:type="dxa"/>
        </w:tblCellMar>
      </w:tblPr>
      <w:tblGrid>
        <w:gridCol w:w="1710"/>
        <w:gridCol w:w="1155"/>
        <w:gridCol w:w="1905"/>
        <w:gridCol w:w="1875"/>
        <w:gridCol w:w="1740"/>
        <w:gridCol w:w="2190"/>
        <w:gridCol w:w="236"/>
      </w:tblGrid>
      <w:tr>
        <w:tblPrEx>
          <w:tblCellMar>
            <w:top w:w="0" w:type="dxa"/>
            <w:left w:w="108" w:type="dxa"/>
            <w:bottom w:w="0" w:type="dxa"/>
            <w:right w:w="108" w:type="dxa"/>
          </w:tblCellMar>
        </w:tblPrEx>
        <w:trPr>
          <w:trHeight w:val="675" w:hRule="atLeast"/>
        </w:trPr>
        <w:tc>
          <w:tcPr>
            <w:tcW w:w="10575" w:type="dxa"/>
            <w:gridSpan w:val="6"/>
            <w:tcBorders>
              <w:top w:val="nil"/>
              <w:left w:val="nil"/>
              <w:bottom w:val="nil"/>
              <w:right w:val="nil"/>
            </w:tcBorders>
            <w:shd w:val="clear" w:color="auto" w:fill="auto"/>
            <w:vAlign w:val="center"/>
          </w:tcPr>
          <w:p>
            <w:pPr>
              <w:widowControl/>
              <w:textAlignment w:val="center"/>
              <w:rPr>
                <w:rFonts w:ascii="宋体" w:hAnsi="宋体" w:cs="宋体"/>
                <w:b/>
                <w:sz w:val="32"/>
                <w:szCs w:val="32"/>
              </w:rPr>
            </w:pPr>
            <w:r>
              <w:rPr>
                <w:rFonts w:hint="eastAsia" w:ascii="宋体" w:hAnsi="宋体" w:cs="宋体"/>
                <w:b/>
                <w:sz w:val="32"/>
                <w:szCs w:val="32"/>
              </w:rPr>
              <w:t>2021年100万元以上（含）特定目标类部门预算项目绩效目标自评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6" w:type="dxa"/>
          <w:trHeight w:val="280" w:hRule="atLeast"/>
        </w:trPr>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3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ascii="宋体" w:hAnsi="宋体" w:cs="宋体"/>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sz w:val="24"/>
              </w:rPr>
              <w:t>天全县人民检察院</w:t>
            </w:r>
          </w:p>
        </w:tc>
      </w:tr>
      <w:tr>
        <w:tblPrEx>
          <w:tblCellMar>
            <w:top w:w="0" w:type="dxa"/>
            <w:left w:w="108" w:type="dxa"/>
            <w:bottom w:w="0" w:type="dxa"/>
            <w:right w:w="108" w:type="dxa"/>
          </w:tblCellMar>
        </w:tblPrEx>
        <w:trPr>
          <w:gridAfter w:val="1"/>
          <w:wAfter w:w="236" w:type="dxa"/>
          <w:trHeight w:val="241" w:hRule="atLeast"/>
        </w:trPr>
        <w:tc>
          <w:tcPr>
            <w:tcW w:w="2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项目预算</w:t>
            </w:r>
          </w:p>
          <w:p>
            <w:pPr>
              <w:widowControl/>
              <w:spacing w:line="320" w:lineRule="exact"/>
              <w:jc w:val="center"/>
              <w:textAlignment w:val="center"/>
              <w:rPr>
                <w:rFonts w:ascii="宋体" w:hAnsi="宋体" w:cs="宋体"/>
                <w:kern w:val="0"/>
                <w:sz w:val="24"/>
              </w:rPr>
            </w:pPr>
            <w:r>
              <w:rPr>
                <w:rFonts w:hint="eastAsia" w:ascii="宋体" w:hAnsi="宋体" w:cs="宋体"/>
                <w:kern w:val="0"/>
                <w:sz w:val="24"/>
              </w:rPr>
              <w:t>执行情况</w:t>
            </w:r>
          </w:p>
          <w:p>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ascii="宋体" w:hAnsi="宋体" w:cs="宋体"/>
                <w:sz w:val="24"/>
              </w:rPr>
            </w:pPr>
            <w:r>
              <w:rPr>
                <w:rFonts w:hint="eastAsia" w:ascii="宋体" w:hAnsi="宋体" w:cs="宋体"/>
                <w:sz w:val="24"/>
              </w:rPr>
              <w:t>150</w:t>
            </w:r>
          </w:p>
        </w:tc>
      </w:tr>
      <w:tr>
        <w:tblPrEx>
          <w:tblCellMar>
            <w:top w:w="0" w:type="dxa"/>
            <w:left w:w="108" w:type="dxa"/>
            <w:bottom w:w="0" w:type="dxa"/>
            <w:right w:w="108" w:type="dxa"/>
          </w:tblCellMar>
        </w:tblPrEx>
        <w:trPr>
          <w:gridAfter w:val="1"/>
          <w:wAfter w:w="236" w:type="dxa"/>
          <w:trHeight w:val="585" w:hRule="atLeast"/>
        </w:trPr>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sz w:val="24"/>
              </w:rPr>
              <w:t>150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firstLine="1200" w:firstLineChars="500"/>
              <w:textAlignment w:val="center"/>
              <w:rPr>
                <w:rFonts w:ascii="宋体" w:hAnsi="宋体" w:cs="宋体"/>
                <w:sz w:val="24"/>
              </w:rPr>
            </w:pPr>
            <w:r>
              <w:rPr>
                <w:rFonts w:hint="eastAsia" w:ascii="宋体" w:hAnsi="宋体" w:cs="宋体"/>
                <w:sz w:val="24"/>
              </w:rPr>
              <w:t>150</w:t>
            </w:r>
          </w:p>
        </w:tc>
      </w:tr>
      <w:tr>
        <w:tblPrEx>
          <w:tblCellMar>
            <w:top w:w="0" w:type="dxa"/>
            <w:left w:w="108" w:type="dxa"/>
            <w:bottom w:w="0" w:type="dxa"/>
            <w:right w:w="108" w:type="dxa"/>
          </w:tblCellMar>
        </w:tblPrEx>
        <w:trPr>
          <w:gridAfter w:val="1"/>
          <w:wAfter w:w="236" w:type="dxa"/>
          <w:trHeight w:val="241" w:hRule="atLeast"/>
        </w:trPr>
        <w:tc>
          <w:tcPr>
            <w:tcW w:w="2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p>
        </w:tc>
      </w:tr>
      <w:tr>
        <w:tblPrEx>
          <w:tblCellMar>
            <w:top w:w="0" w:type="dxa"/>
            <w:left w:w="108" w:type="dxa"/>
            <w:bottom w:w="0" w:type="dxa"/>
            <w:right w:w="108" w:type="dxa"/>
          </w:tblCellMar>
        </w:tblPrEx>
        <w:trPr>
          <w:gridAfter w:val="1"/>
          <w:wAfter w:w="236" w:type="dxa"/>
          <w:trHeight w:val="220" w:hRule="atLeast"/>
        </w:trPr>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tblPrEx>
          <w:tblCellMar>
            <w:top w:w="0" w:type="dxa"/>
            <w:left w:w="108" w:type="dxa"/>
            <w:bottom w:w="0" w:type="dxa"/>
            <w:right w:w="108" w:type="dxa"/>
          </w:tblCellMar>
        </w:tblPrEx>
        <w:trPr>
          <w:gridAfter w:val="1"/>
          <w:wAfter w:w="236" w:type="dxa"/>
          <w:trHeight w:val="407" w:hRule="atLeast"/>
        </w:trPr>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宋体" w:hAnsi="宋体" w:cs="宋体"/>
                <w:sz w:val="24"/>
              </w:rPr>
            </w:pPr>
          </w:p>
        </w:tc>
        <w:tc>
          <w:tcPr>
            <w:tcW w:w="4935"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顺利开展基层检察院建设工作。</w:t>
            </w:r>
          </w:p>
        </w:tc>
        <w:tc>
          <w:tcPr>
            <w:tcW w:w="3930"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ascii="宋体" w:hAnsi="宋体" w:cs="宋体"/>
                <w:sz w:val="24"/>
              </w:rPr>
            </w:pPr>
            <w:r>
              <w:rPr>
                <w:rFonts w:hint="eastAsia" w:ascii="宋体" w:hAnsi="宋体" w:cs="宋体"/>
                <w:sz w:val="24"/>
              </w:rPr>
              <w:t>顺利完成基层检察院建设工作。</w:t>
            </w:r>
          </w:p>
        </w:tc>
      </w:tr>
      <w:tr>
        <w:tblPrEx>
          <w:tblCellMar>
            <w:top w:w="0" w:type="dxa"/>
            <w:left w:w="108" w:type="dxa"/>
            <w:bottom w:w="0" w:type="dxa"/>
            <w:right w:w="108" w:type="dxa"/>
          </w:tblCellMar>
        </w:tblPrEx>
        <w:trPr>
          <w:gridAfter w:val="1"/>
          <w:wAfter w:w="236" w:type="dxa"/>
          <w:trHeight w:val="693" w:hRule="atLeast"/>
        </w:trPr>
        <w:tc>
          <w:tcPr>
            <w:tcW w:w="1710"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155"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tblPrEx>
          <w:tblCellMar>
            <w:top w:w="0" w:type="dxa"/>
            <w:left w:w="108" w:type="dxa"/>
            <w:bottom w:w="0" w:type="dxa"/>
            <w:right w:w="108" w:type="dxa"/>
          </w:tblCellMar>
        </w:tblPrEx>
        <w:trPr>
          <w:gridAfter w:val="1"/>
          <w:wAfter w:w="236" w:type="dxa"/>
          <w:trHeight w:val="415"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改造完善基层院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r>
      <w:tr>
        <w:tblPrEx>
          <w:tblCellMar>
            <w:top w:w="0" w:type="dxa"/>
            <w:left w:w="108" w:type="dxa"/>
            <w:bottom w:w="0" w:type="dxa"/>
            <w:right w:w="108" w:type="dxa"/>
          </w:tblCellMar>
        </w:tblPrEx>
        <w:trPr>
          <w:gridAfter w:val="1"/>
          <w:wAfter w:w="236" w:type="dxa"/>
          <w:trHeight w:val="415"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确保正常投入使用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≥98%</w:t>
            </w:r>
          </w:p>
        </w:tc>
      </w:tr>
      <w:tr>
        <w:tblPrEx>
          <w:tblCellMar>
            <w:top w:w="0" w:type="dxa"/>
            <w:left w:w="108" w:type="dxa"/>
            <w:bottom w:w="0" w:type="dxa"/>
            <w:right w:w="108" w:type="dxa"/>
          </w:tblCellMar>
        </w:tblPrEx>
        <w:trPr>
          <w:gridAfter w:val="1"/>
          <w:wAfter w:w="236" w:type="dxa"/>
          <w:trHeight w:val="59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完成时间</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2021年12月31日</w:t>
            </w:r>
          </w:p>
        </w:tc>
      </w:tr>
      <w:tr>
        <w:tblPrEx>
          <w:tblCellMar>
            <w:top w:w="0" w:type="dxa"/>
            <w:left w:w="108" w:type="dxa"/>
            <w:bottom w:w="0" w:type="dxa"/>
            <w:right w:w="108" w:type="dxa"/>
          </w:tblCellMar>
        </w:tblPrEx>
        <w:trPr>
          <w:gridAfter w:val="1"/>
          <w:wAfter w:w="236" w:type="dxa"/>
          <w:trHeight w:val="605"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控制在预算内</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150万元</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150万元</w:t>
            </w:r>
          </w:p>
        </w:tc>
      </w:tr>
      <w:tr>
        <w:tblPrEx>
          <w:tblCellMar>
            <w:top w:w="0" w:type="dxa"/>
            <w:left w:w="108" w:type="dxa"/>
            <w:bottom w:w="0" w:type="dxa"/>
            <w:right w:w="108" w:type="dxa"/>
          </w:tblCellMar>
        </w:tblPrEx>
        <w:trPr>
          <w:gridAfter w:val="1"/>
          <w:wAfter w:w="236" w:type="dxa"/>
          <w:trHeight w:val="48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提高办公和办案效率，促进县域经济发展。</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提高办公和办案效率，促进县域经济发展</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提高办公和办案效率，促进县域经济发展</w:t>
            </w:r>
          </w:p>
        </w:tc>
      </w:tr>
      <w:tr>
        <w:tblPrEx>
          <w:tblCellMar>
            <w:top w:w="0" w:type="dxa"/>
            <w:left w:w="108" w:type="dxa"/>
            <w:bottom w:w="0" w:type="dxa"/>
            <w:right w:w="108" w:type="dxa"/>
          </w:tblCellMar>
        </w:tblPrEx>
        <w:trPr>
          <w:gridAfter w:val="1"/>
          <w:wAfter w:w="236" w:type="dxa"/>
          <w:trHeight w:val="733"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  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维护社会和谐稳定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维护社会和谐稳定</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维护社会和谐稳定</w:t>
            </w:r>
          </w:p>
        </w:tc>
      </w:tr>
      <w:tr>
        <w:tblPrEx>
          <w:tblCellMar>
            <w:top w:w="0" w:type="dxa"/>
            <w:left w:w="108" w:type="dxa"/>
            <w:bottom w:w="0" w:type="dxa"/>
            <w:right w:w="108" w:type="dxa"/>
          </w:tblCellMar>
        </w:tblPrEx>
        <w:trPr>
          <w:gridAfter w:val="1"/>
          <w:wAfter w:w="236" w:type="dxa"/>
          <w:trHeight w:val="530" w:hRule="atLeast"/>
        </w:trPr>
        <w:tc>
          <w:tcPr>
            <w:tcW w:w="1710"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ascii="仿宋_GB2312" w:hAnsi="仿宋_GB2312" w:eastAsia="仿宋_GB2312" w:cs="仿宋_GB2312"/>
                <w:sz w:val="28"/>
                <w:szCs w:val="28"/>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 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长期</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长期</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长期</w:t>
            </w:r>
          </w:p>
        </w:tc>
      </w:tr>
      <w:tr>
        <w:tblPrEx>
          <w:tblCellMar>
            <w:top w:w="0" w:type="dxa"/>
            <w:left w:w="108" w:type="dxa"/>
            <w:bottom w:w="0" w:type="dxa"/>
            <w:right w:w="108" w:type="dxa"/>
          </w:tblCellMar>
        </w:tblPrEx>
        <w:trPr>
          <w:gridAfter w:val="1"/>
          <w:wAfter w:w="236" w:type="dxa"/>
          <w:trHeight w:val="530" w:hRule="atLeast"/>
        </w:trPr>
        <w:tc>
          <w:tcPr>
            <w:tcW w:w="1710"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度指标</w:t>
            </w: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满意度</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社会群众满意度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≥95%</w:t>
            </w:r>
          </w:p>
        </w:tc>
      </w:tr>
    </w:tbl>
    <w:p>
      <w:pPr>
        <w:widowControl/>
        <w:jc w:val="left"/>
        <w:rPr>
          <w:rStyle w:val="25"/>
          <w:rFonts w:ascii="黑体" w:hAnsi="黑体" w:eastAsia="黑体"/>
          <w:b w:val="0"/>
          <w:sz w:val="10"/>
          <w:szCs w:val="10"/>
        </w:rPr>
      </w:pPr>
      <w:r>
        <w:rPr>
          <w:rStyle w:val="25"/>
          <w:rFonts w:ascii="黑体" w:hAnsi="黑体" w:eastAsia="黑体"/>
          <w:b w:val="0"/>
        </w:rPr>
        <w:br w:type="page"/>
      </w:r>
    </w:p>
    <w:bookmarkEnd w:id="58"/>
    <w:p>
      <w:pPr>
        <w:spacing w:line="560" w:lineRule="exact"/>
        <w:jc w:val="center"/>
        <w:rPr>
          <w:rStyle w:val="25"/>
          <w:rFonts w:ascii="方正小标宋简体" w:hAnsi="方正小标宋简体" w:eastAsia="方正小标宋简体" w:cs="方正小标宋简体"/>
          <w:b w:val="0"/>
        </w:rPr>
      </w:pPr>
      <w:r>
        <w:rPr>
          <w:rStyle w:val="25"/>
          <w:rFonts w:hint="eastAsia" w:ascii="方正小标宋简体" w:hAnsi="方正小标宋简体" w:eastAsia="方正小标宋简体" w:cs="方正小标宋简体"/>
          <w:b w:val="0"/>
        </w:rPr>
        <w:t>第五部分 附表</w:t>
      </w:r>
    </w:p>
    <w:p>
      <w:pPr>
        <w:pStyle w:val="4"/>
        <w:spacing w:line="560" w:lineRule="exact"/>
        <w:rPr>
          <w:rFonts w:ascii="仿宋" w:hAnsi="仿宋" w:eastAsia="仿宋"/>
        </w:rPr>
      </w:pPr>
      <w:bookmarkStart w:id="59" w:name="_Toc15396619"/>
      <w:r>
        <w:rPr>
          <w:rFonts w:hint="eastAsia" w:ascii="仿宋" w:hAnsi="仿宋" w:eastAsia="仿宋"/>
          <w:b w:val="0"/>
        </w:rPr>
        <w:t>一、收</w:t>
      </w:r>
      <w:r>
        <w:rPr>
          <w:rStyle w:val="26"/>
          <w:rFonts w:hint="eastAsia" w:ascii="仿宋" w:hAnsi="仿宋" w:eastAsia="仿宋"/>
          <w:b w:val="0"/>
          <w:bCs w:val="0"/>
        </w:rPr>
        <w:t>入支出决算总表</w:t>
      </w:r>
      <w:bookmarkEnd w:id="59"/>
    </w:p>
    <w:p>
      <w:pPr>
        <w:pStyle w:val="4"/>
        <w:spacing w:line="560" w:lineRule="exact"/>
        <w:rPr>
          <w:rFonts w:ascii="仿宋" w:hAnsi="仿宋" w:eastAsia="仿宋"/>
        </w:rPr>
      </w:pPr>
      <w:bookmarkStart w:id="60" w:name="_Toc15396620"/>
      <w:r>
        <w:rPr>
          <w:rFonts w:hint="eastAsia" w:ascii="仿宋" w:hAnsi="仿宋" w:eastAsia="仿宋"/>
          <w:b w:val="0"/>
        </w:rPr>
        <w:t>二、收</w:t>
      </w:r>
      <w:r>
        <w:rPr>
          <w:rStyle w:val="26"/>
          <w:rFonts w:hint="eastAsia" w:ascii="仿宋" w:hAnsi="仿宋" w:eastAsia="仿宋"/>
          <w:b w:val="0"/>
          <w:bCs w:val="0"/>
        </w:rPr>
        <w:t>入决算表</w:t>
      </w:r>
      <w:bookmarkEnd w:id="60"/>
    </w:p>
    <w:p>
      <w:pPr>
        <w:pStyle w:val="4"/>
        <w:spacing w:line="560" w:lineRule="exact"/>
        <w:rPr>
          <w:rFonts w:ascii="仿宋" w:hAnsi="仿宋" w:eastAsia="仿宋"/>
        </w:rPr>
      </w:pPr>
      <w:bookmarkStart w:id="61" w:name="_Toc15396621"/>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61"/>
    </w:p>
    <w:p>
      <w:pPr>
        <w:pStyle w:val="4"/>
        <w:spacing w:line="560" w:lineRule="exact"/>
        <w:rPr>
          <w:rFonts w:ascii="仿宋" w:hAnsi="仿宋" w:eastAsia="仿宋"/>
          <w:b w:val="0"/>
        </w:rPr>
      </w:pPr>
      <w:bookmarkStart w:id="62"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62"/>
    </w:p>
    <w:p>
      <w:pPr>
        <w:pStyle w:val="4"/>
        <w:spacing w:line="560" w:lineRule="exact"/>
        <w:rPr>
          <w:rStyle w:val="26"/>
          <w:rFonts w:ascii="仿宋" w:hAnsi="仿宋" w:eastAsia="仿宋"/>
          <w:b w:val="0"/>
          <w:bCs w:val="0"/>
        </w:rPr>
      </w:pPr>
      <w:bookmarkStart w:id="63"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63"/>
      <w:bookmarkStart w:id="64" w:name="_Toc15396624"/>
    </w:p>
    <w:p>
      <w:pPr>
        <w:pStyle w:val="4"/>
        <w:spacing w:line="560" w:lineRule="exact"/>
        <w:rPr>
          <w:rFonts w:ascii="仿宋" w:hAnsi="仿宋" w:eastAsia="仿宋"/>
        </w:rPr>
      </w:pPr>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64"/>
    </w:p>
    <w:p>
      <w:pPr>
        <w:pStyle w:val="4"/>
        <w:spacing w:line="560" w:lineRule="exact"/>
        <w:rPr>
          <w:rFonts w:ascii="仿宋" w:hAnsi="仿宋" w:eastAsia="仿宋"/>
        </w:rPr>
      </w:pPr>
      <w:bookmarkStart w:id="65" w:name="_Toc15396625"/>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65"/>
    </w:p>
    <w:p>
      <w:pPr>
        <w:pStyle w:val="4"/>
        <w:spacing w:line="560" w:lineRule="exact"/>
        <w:rPr>
          <w:rFonts w:ascii="仿宋" w:hAnsi="仿宋" w:eastAsia="仿宋"/>
        </w:rPr>
      </w:pPr>
      <w:bookmarkStart w:id="66"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66"/>
    </w:p>
    <w:p>
      <w:pPr>
        <w:pStyle w:val="4"/>
        <w:spacing w:line="560" w:lineRule="exact"/>
        <w:rPr>
          <w:rFonts w:ascii="仿宋" w:hAnsi="仿宋" w:eastAsia="仿宋"/>
        </w:rPr>
      </w:pPr>
      <w:bookmarkStart w:id="67" w:name="_Toc15396627"/>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67"/>
    </w:p>
    <w:p>
      <w:pPr>
        <w:pStyle w:val="4"/>
        <w:spacing w:line="560" w:lineRule="exact"/>
        <w:rPr>
          <w:rFonts w:ascii="仿宋" w:hAnsi="仿宋" w:eastAsia="仿宋"/>
        </w:rPr>
      </w:pPr>
      <w:bookmarkStart w:id="68" w:name="_Toc15396628"/>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68"/>
    </w:p>
    <w:p>
      <w:pPr>
        <w:pStyle w:val="4"/>
        <w:spacing w:line="560" w:lineRule="exact"/>
        <w:rPr>
          <w:rFonts w:ascii="仿宋" w:hAnsi="仿宋" w:eastAsia="仿宋"/>
        </w:rPr>
      </w:pPr>
      <w:bookmarkStart w:id="69" w:name="_Toc15396629"/>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69"/>
    </w:p>
    <w:p>
      <w:pPr>
        <w:pStyle w:val="4"/>
        <w:spacing w:line="560" w:lineRule="exact"/>
        <w:rPr>
          <w:rFonts w:hint="eastAsia" w:ascii="仿宋" w:hAnsi="仿宋" w:eastAsia="仿宋"/>
        </w:rPr>
      </w:pPr>
      <w:bookmarkStart w:id="70" w:name="_Toc15396630"/>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70"/>
      <w:bookmarkStart w:id="71" w:name="_Toc15396631"/>
    </w:p>
    <w:p>
      <w:pPr>
        <w:pStyle w:val="4"/>
        <w:spacing w:line="560" w:lineRule="exact"/>
        <w:rPr>
          <w:rStyle w:val="26"/>
          <w:rFonts w:ascii="仿宋" w:hAnsi="仿宋" w:eastAsia="仿宋"/>
          <w:b/>
          <w:bCs/>
        </w:rPr>
      </w:pPr>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71"/>
    </w:p>
    <w:p>
      <w:pPr>
        <w:spacing w:line="560" w:lineRule="exact"/>
        <w:rPr>
          <w:rFonts w:eastAsia="仿宋"/>
        </w:rPr>
      </w:pPr>
      <w:r>
        <w:rPr>
          <w:rStyle w:val="26"/>
          <w:rFonts w:hint="eastAsia" w:ascii="仿宋" w:hAnsi="仿宋" w:eastAsia="仿宋"/>
          <w:b w:val="0"/>
          <w:bCs w:val="0"/>
        </w:rPr>
        <w:t>十四、国有资本经营预算财政拨款支出决算表</w:t>
      </w:r>
    </w:p>
    <w:sectPr>
      <w:headerReference r:id="rId3" w:type="default"/>
      <w:footerReference r:id="rId4" w:type="default"/>
      <w:pgSz w:w="11906" w:h="16838"/>
      <w:pgMar w:top="2098" w:right="1531" w:bottom="1871" w:left="1531" w:header="851" w:footer="1418"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29</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5255511"/>
    <w:multiLevelType w:val="singleLevel"/>
    <w:tmpl w:val="F5255511"/>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RiYTlmMDAzMzEzZGUwMDdkYjgzYzYwNGM4YmY0NjYifQ=="/>
  </w:docVars>
  <w:rsids>
    <w:rsidRoot w:val="00F1361C"/>
    <w:rsid w:val="000222C6"/>
    <w:rsid w:val="0002549F"/>
    <w:rsid w:val="000468DB"/>
    <w:rsid w:val="0006487A"/>
    <w:rsid w:val="00065F8F"/>
    <w:rsid w:val="00070A43"/>
    <w:rsid w:val="000768F2"/>
    <w:rsid w:val="000870EE"/>
    <w:rsid w:val="0009184B"/>
    <w:rsid w:val="00094236"/>
    <w:rsid w:val="0009593C"/>
    <w:rsid w:val="00095D8E"/>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6C8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3789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C3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1FAC"/>
    <w:rsid w:val="00471401"/>
    <w:rsid w:val="00473F31"/>
    <w:rsid w:val="00480159"/>
    <w:rsid w:val="00482527"/>
    <w:rsid w:val="0048263A"/>
    <w:rsid w:val="00487E5D"/>
    <w:rsid w:val="004A711F"/>
    <w:rsid w:val="004B199D"/>
    <w:rsid w:val="004B4690"/>
    <w:rsid w:val="004E0A2D"/>
    <w:rsid w:val="004E2039"/>
    <w:rsid w:val="004E206B"/>
    <w:rsid w:val="004E6DF7"/>
    <w:rsid w:val="004F0FBD"/>
    <w:rsid w:val="004F66A9"/>
    <w:rsid w:val="00505A47"/>
    <w:rsid w:val="00512FDA"/>
    <w:rsid w:val="00520DA0"/>
    <w:rsid w:val="005410B9"/>
    <w:rsid w:val="005664BB"/>
    <w:rsid w:val="00566FFA"/>
    <w:rsid w:val="0057481D"/>
    <w:rsid w:val="00583D1A"/>
    <w:rsid w:val="0058486E"/>
    <w:rsid w:val="00585B33"/>
    <w:rsid w:val="0059014D"/>
    <w:rsid w:val="005B5C64"/>
    <w:rsid w:val="005C5337"/>
    <w:rsid w:val="005C6BD0"/>
    <w:rsid w:val="005D0715"/>
    <w:rsid w:val="005D1C8B"/>
    <w:rsid w:val="005D468D"/>
    <w:rsid w:val="005D5CED"/>
    <w:rsid w:val="005F1A4C"/>
    <w:rsid w:val="00605688"/>
    <w:rsid w:val="006070AF"/>
    <w:rsid w:val="00607E6C"/>
    <w:rsid w:val="006101B1"/>
    <w:rsid w:val="00610687"/>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E3482"/>
    <w:rsid w:val="007F1991"/>
    <w:rsid w:val="007F2C2F"/>
    <w:rsid w:val="007F55FC"/>
    <w:rsid w:val="007F5665"/>
    <w:rsid w:val="00800112"/>
    <w:rsid w:val="0080042E"/>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8F611D"/>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7E4C"/>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1B93"/>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6192"/>
    <w:rsid w:val="00AF6761"/>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15F8"/>
    <w:rsid w:val="00B77EA6"/>
    <w:rsid w:val="00B81598"/>
    <w:rsid w:val="00B841F1"/>
    <w:rsid w:val="00B944D6"/>
    <w:rsid w:val="00BB4DF0"/>
    <w:rsid w:val="00BC289F"/>
    <w:rsid w:val="00BC2D50"/>
    <w:rsid w:val="00BC5361"/>
    <w:rsid w:val="00BC5460"/>
    <w:rsid w:val="00BC6B50"/>
    <w:rsid w:val="00BD0E25"/>
    <w:rsid w:val="00BF5BD6"/>
    <w:rsid w:val="00C03E31"/>
    <w:rsid w:val="00C16DDA"/>
    <w:rsid w:val="00C323E0"/>
    <w:rsid w:val="00C33E72"/>
    <w:rsid w:val="00C354B2"/>
    <w:rsid w:val="00C35554"/>
    <w:rsid w:val="00C42709"/>
    <w:rsid w:val="00C533CC"/>
    <w:rsid w:val="00C5751C"/>
    <w:rsid w:val="00C61BFC"/>
    <w:rsid w:val="00C62B85"/>
    <w:rsid w:val="00C65438"/>
    <w:rsid w:val="00C706A0"/>
    <w:rsid w:val="00C87FD8"/>
    <w:rsid w:val="00C91381"/>
    <w:rsid w:val="00C91CBB"/>
    <w:rsid w:val="00CB4E70"/>
    <w:rsid w:val="00CC09B6"/>
    <w:rsid w:val="00CC666F"/>
    <w:rsid w:val="00CD1E3F"/>
    <w:rsid w:val="00CE44F6"/>
    <w:rsid w:val="00CE49DA"/>
    <w:rsid w:val="00CE68D3"/>
    <w:rsid w:val="00CE7B61"/>
    <w:rsid w:val="00D00095"/>
    <w:rsid w:val="00D1101F"/>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57FD"/>
    <w:rsid w:val="00E01053"/>
    <w:rsid w:val="00E078F0"/>
    <w:rsid w:val="00E07ACF"/>
    <w:rsid w:val="00E331A1"/>
    <w:rsid w:val="00E33202"/>
    <w:rsid w:val="00E336A9"/>
    <w:rsid w:val="00E472B1"/>
    <w:rsid w:val="00E4760F"/>
    <w:rsid w:val="00E50624"/>
    <w:rsid w:val="00E568DF"/>
    <w:rsid w:val="00E64269"/>
    <w:rsid w:val="00E82267"/>
    <w:rsid w:val="00E853CE"/>
    <w:rsid w:val="00E867B6"/>
    <w:rsid w:val="00EA010F"/>
    <w:rsid w:val="00EA6A63"/>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3E45"/>
    <w:rsid w:val="00FA23E8"/>
    <w:rsid w:val="00FD3CC1"/>
    <w:rsid w:val="00FF1E02"/>
    <w:rsid w:val="00FF30B4"/>
    <w:rsid w:val="01396E1E"/>
    <w:rsid w:val="01DF79C5"/>
    <w:rsid w:val="04671EF4"/>
    <w:rsid w:val="066E0107"/>
    <w:rsid w:val="07131EBF"/>
    <w:rsid w:val="07996F6E"/>
    <w:rsid w:val="088F0BD7"/>
    <w:rsid w:val="092403B3"/>
    <w:rsid w:val="0A2032A3"/>
    <w:rsid w:val="0BF978D5"/>
    <w:rsid w:val="0C9B6BDE"/>
    <w:rsid w:val="0F2134AF"/>
    <w:rsid w:val="0F49424C"/>
    <w:rsid w:val="101860EC"/>
    <w:rsid w:val="10C055FF"/>
    <w:rsid w:val="113F222E"/>
    <w:rsid w:val="118107EC"/>
    <w:rsid w:val="13141499"/>
    <w:rsid w:val="13D50BC4"/>
    <w:rsid w:val="14334984"/>
    <w:rsid w:val="163A6E58"/>
    <w:rsid w:val="167B44B3"/>
    <w:rsid w:val="16BB723D"/>
    <w:rsid w:val="16F75359"/>
    <w:rsid w:val="17092923"/>
    <w:rsid w:val="170A3EE2"/>
    <w:rsid w:val="191A7579"/>
    <w:rsid w:val="198509FA"/>
    <w:rsid w:val="1B171B26"/>
    <w:rsid w:val="1B6A1ABD"/>
    <w:rsid w:val="1B950C9D"/>
    <w:rsid w:val="1BE8440E"/>
    <w:rsid w:val="1C5D5C5E"/>
    <w:rsid w:val="1C662D65"/>
    <w:rsid w:val="1D155CEE"/>
    <w:rsid w:val="1E3D1F7E"/>
    <w:rsid w:val="1E5472C9"/>
    <w:rsid w:val="1F050621"/>
    <w:rsid w:val="1F69491A"/>
    <w:rsid w:val="1F8654CC"/>
    <w:rsid w:val="1FFA20C8"/>
    <w:rsid w:val="22581E16"/>
    <w:rsid w:val="22DB5263"/>
    <w:rsid w:val="23860B96"/>
    <w:rsid w:val="240371BF"/>
    <w:rsid w:val="245416F5"/>
    <w:rsid w:val="246062EC"/>
    <w:rsid w:val="252E0B1B"/>
    <w:rsid w:val="27054DB2"/>
    <w:rsid w:val="280D0539"/>
    <w:rsid w:val="28C332ED"/>
    <w:rsid w:val="29E452C9"/>
    <w:rsid w:val="29FD04D3"/>
    <w:rsid w:val="2AAE08B5"/>
    <w:rsid w:val="2C8A61B5"/>
    <w:rsid w:val="2CE86A06"/>
    <w:rsid w:val="2D151C3D"/>
    <w:rsid w:val="2D3854E4"/>
    <w:rsid w:val="2DE74300"/>
    <w:rsid w:val="2DF04E50"/>
    <w:rsid w:val="2EB513C9"/>
    <w:rsid w:val="2EB6480A"/>
    <w:rsid w:val="2F846934"/>
    <w:rsid w:val="30474804"/>
    <w:rsid w:val="306C3539"/>
    <w:rsid w:val="30724DF2"/>
    <w:rsid w:val="31067002"/>
    <w:rsid w:val="319F7F4E"/>
    <w:rsid w:val="31CA749A"/>
    <w:rsid w:val="31E85B72"/>
    <w:rsid w:val="32892EB1"/>
    <w:rsid w:val="33093FF2"/>
    <w:rsid w:val="338B134A"/>
    <w:rsid w:val="338E05A1"/>
    <w:rsid w:val="346C4839"/>
    <w:rsid w:val="351843A4"/>
    <w:rsid w:val="3623361D"/>
    <w:rsid w:val="365577ED"/>
    <w:rsid w:val="36AA5135"/>
    <w:rsid w:val="36B67FED"/>
    <w:rsid w:val="36DA0C47"/>
    <w:rsid w:val="374E3904"/>
    <w:rsid w:val="37E16F03"/>
    <w:rsid w:val="39C34340"/>
    <w:rsid w:val="3AFB6916"/>
    <w:rsid w:val="3B84690C"/>
    <w:rsid w:val="3B85568F"/>
    <w:rsid w:val="3C416970"/>
    <w:rsid w:val="3C8D2EC6"/>
    <w:rsid w:val="3D0850F4"/>
    <w:rsid w:val="3D98207C"/>
    <w:rsid w:val="41285D80"/>
    <w:rsid w:val="412A5860"/>
    <w:rsid w:val="41990C37"/>
    <w:rsid w:val="41EC5836"/>
    <w:rsid w:val="435766B4"/>
    <w:rsid w:val="44664D5E"/>
    <w:rsid w:val="446C30BB"/>
    <w:rsid w:val="4490281D"/>
    <w:rsid w:val="44D71130"/>
    <w:rsid w:val="44E268DA"/>
    <w:rsid w:val="44FE14DD"/>
    <w:rsid w:val="45967968"/>
    <w:rsid w:val="477E6905"/>
    <w:rsid w:val="47825323"/>
    <w:rsid w:val="49861AA1"/>
    <w:rsid w:val="49BE56DF"/>
    <w:rsid w:val="4A627F82"/>
    <w:rsid w:val="4A7A45C3"/>
    <w:rsid w:val="4B4F25DA"/>
    <w:rsid w:val="4BE068DB"/>
    <w:rsid w:val="4CF50308"/>
    <w:rsid w:val="4D577224"/>
    <w:rsid w:val="4D9D5626"/>
    <w:rsid w:val="4DD3102D"/>
    <w:rsid w:val="4EAB630A"/>
    <w:rsid w:val="4ECE2238"/>
    <w:rsid w:val="4F477F24"/>
    <w:rsid w:val="4F846A83"/>
    <w:rsid w:val="4F9667B6"/>
    <w:rsid w:val="50E579F5"/>
    <w:rsid w:val="53A77E94"/>
    <w:rsid w:val="54694499"/>
    <w:rsid w:val="55326F81"/>
    <w:rsid w:val="579358E9"/>
    <w:rsid w:val="57CC2F54"/>
    <w:rsid w:val="589C0EF2"/>
    <w:rsid w:val="5AD7215D"/>
    <w:rsid w:val="5AF92295"/>
    <w:rsid w:val="5BCE7A03"/>
    <w:rsid w:val="5C2515ED"/>
    <w:rsid w:val="5CD71FC4"/>
    <w:rsid w:val="5CD95291"/>
    <w:rsid w:val="5E2C5E31"/>
    <w:rsid w:val="5E6A32E8"/>
    <w:rsid w:val="6017749F"/>
    <w:rsid w:val="60BF5B6D"/>
    <w:rsid w:val="6106379C"/>
    <w:rsid w:val="61D70248"/>
    <w:rsid w:val="625C4138"/>
    <w:rsid w:val="63966D54"/>
    <w:rsid w:val="63EC1EA8"/>
    <w:rsid w:val="64994927"/>
    <w:rsid w:val="659D21F5"/>
    <w:rsid w:val="66EC493C"/>
    <w:rsid w:val="68AA276B"/>
    <w:rsid w:val="6AB84AD3"/>
    <w:rsid w:val="6B446A80"/>
    <w:rsid w:val="6C4A05C8"/>
    <w:rsid w:val="6E7E3605"/>
    <w:rsid w:val="6EBA5BC5"/>
    <w:rsid w:val="6EC627BC"/>
    <w:rsid w:val="6F132783"/>
    <w:rsid w:val="6FF5CC65"/>
    <w:rsid w:val="70D3734B"/>
    <w:rsid w:val="715C0E4B"/>
    <w:rsid w:val="72734D90"/>
    <w:rsid w:val="72CF7C4F"/>
    <w:rsid w:val="73AD73D5"/>
    <w:rsid w:val="73B6EB34"/>
    <w:rsid w:val="74D3178F"/>
    <w:rsid w:val="75D80B91"/>
    <w:rsid w:val="784D3704"/>
    <w:rsid w:val="78D12489"/>
    <w:rsid w:val="799D352A"/>
    <w:rsid w:val="79EE5BA4"/>
    <w:rsid w:val="7A637111"/>
    <w:rsid w:val="7A894339"/>
    <w:rsid w:val="7AD95625"/>
    <w:rsid w:val="7C556F2D"/>
    <w:rsid w:val="7CAA7279"/>
    <w:rsid w:val="7DEB65FD"/>
    <w:rsid w:val="7DF764EE"/>
    <w:rsid w:val="7EEF11D3"/>
    <w:rsid w:val="7F4026ED"/>
    <w:rsid w:val="7F511C2E"/>
    <w:rsid w:val="7FA30C79"/>
    <w:rsid w:val="7FC96657"/>
    <w:rsid w:val="D8D6DB89"/>
    <w:rsid w:val="DB6F4CAB"/>
    <w:rsid w:val="DF6F9789"/>
    <w:rsid w:val="FEFF51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jc w:val="left"/>
    </w:pPr>
    <w:rPr>
      <w:rFonts w:ascii="Calibri" w:hAnsi="Calibri" w:cs="Calibri"/>
      <w:kern w:val="0"/>
      <w:sz w:val="24"/>
    </w:rPr>
  </w:style>
  <w:style w:type="character" w:styleId="15">
    <w:name w:val="Strong"/>
    <w:basedOn w:val="14"/>
    <w:qFormat/>
    <w:uiPriority w:val="99"/>
    <w:rPr>
      <w:rFonts w:hint="default" w:ascii="Times New Roman" w:hAnsi="Times New Roman" w:cs="Times New Roman"/>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15"/>
    <w:basedOn w:val="14"/>
    <w:qFormat/>
    <w:uiPriority w:val="0"/>
    <w:rPr>
      <w:rFonts w:hint="default" w:ascii="Calibri" w:hAnsi="Calibri" w:cs="Calibri"/>
      <w:b/>
      <w:bCs/>
    </w:rPr>
  </w:style>
  <w:style w:type="character" w:customStyle="1" w:styleId="32">
    <w:name w:val="标题 1 Char1"/>
    <w:basedOn w:val="14"/>
    <w:link w:val="3"/>
    <w:qFormat/>
    <w:uiPriority w:val="0"/>
    <w:rPr>
      <w:rFonts w:hint="default"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360982244063635"/>
          <c:y val="0.071609098567818"/>
          <c:w val="0.219883040935673"/>
          <c:h val="0.554338668913227"/>
        </c:manualLayout>
      </c:layout>
      <c:pieChart>
        <c:varyColors val="true"/>
        <c:ser>
          <c:idx val="0"/>
          <c:order val="0"/>
          <c:tx>
            <c:strRef>
              <c:f>Sheet1!$A$2</c:f>
              <c:strCache>
                <c:ptCount val="1"/>
                <c:pt idx="0">
                  <c:v>总计</c:v>
                </c:pt>
              </c:strCache>
            </c:strRef>
          </c:tx>
          <c:spPr>
            <a:solidFill>
              <a:srgbClr val="9999FF"/>
            </a:solidFill>
            <a:ln w="8572">
              <a:solidFill>
                <a:srgbClr val="000000"/>
              </a:solidFill>
              <a:prstDash val="solid"/>
            </a:ln>
          </c:spPr>
          <c:explosion val="0"/>
          <c:dPt>
            <c:idx val="0"/>
            <c:bubble3D val="false"/>
            <c:spPr>
              <a:solidFill>
                <a:srgbClr val="9999FF"/>
              </a:solidFill>
              <a:ln w="8572">
                <a:solidFill>
                  <a:srgbClr val="000000"/>
                </a:solidFill>
                <a:prstDash val="solid"/>
              </a:ln>
            </c:spPr>
          </c:dPt>
          <c:dLbls>
            <c:numFmt formatCode="0%" sourceLinked="false"/>
            <c:spPr>
              <a:noFill/>
              <a:ln w="17144">
                <a:noFill/>
              </a:ln>
              <a:effectLst/>
            </c:spPr>
            <c:txPr>
              <a:bodyPr rot="0" spcFirstLastPara="0" vertOverflow="ellipsis" vert="horz" wrap="square" lIns="38100" tIns="19050" rIns="38100" bIns="19050" anchor="ctr" anchorCtr="true"/>
              <a:lstStyle/>
              <a:p>
                <a:pPr>
                  <a:defRPr lang="zh-CN" sz="540" b="0" i="0" u="none" strike="noStrike" kern="1200" baseline="0">
                    <a:solidFill>
                      <a:srgbClr val="000000"/>
                    </a:solidFill>
                    <a:latin typeface="宋体" charset="-122"/>
                    <a:ea typeface="宋体" charset="-122"/>
                    <a:cs typeface="宋体" charset="-122"/>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Sheet1!$B$1:$B$1</c:f>
              <c:strCache>
                <c:ptCount val="1"/>
                <c:pt idx="0">
                  <c:v>财政拨款收入</c:v>
                </c:pt>
              </c:strCache>
            </c:strRef>
          </c:cat>
          <c:val>
            <c:numRef>
              <c:f>Sheet1!$B$2:$B$2</c:f>
              <c:numCache>
                <c:formatCode>General</c:formatCode>
                <c:ptCount val="1"/>
                <c:pt idx="0">
                  <c:v>861.66</c:v>
                </c:pt>
              </c:numCache>
            </c:numRef>
          </c:val>
        </c:ser>
        <c:dLbls>
          <c:showLegendKey val="false"/>
          <c:showVal val="false"/>
          <c:showCatName val="false"/>
          <c:showSerName val="false"/>
          <c:showPercent val="true"/>
          <c:showBubbleSize val="false"/>
          <c:showLeaderLines val="true"/>
        </c:dLbls>
        <c:firstSliceAng val="0"/>
      </c:pieChart>
      <c:spPr>
        <a:solidFill>
          <a:srgbClr val="C0C0C0"/>
        </a:solidFill>
        <a:ln w="8572">
          <a:solidFill>
            <a:srgbClr val="808080"/>
          </a:solidFill>
          <a:prstDash val="solid"/>
        </a:ln>
      </c:spPr>
    </c:plotArea>
    <c:legend>
      <c:legendPos val="b"/>
      <c:legendEntry>
        <c:idx val="0"/>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legendEntry>
      <c:layout>
        <c:manualLayout>
          <c:xMode val="edge"/>
          <c:yMode val="edge"/>
          <c:x val="0.317293233082707"/>
          <c:y val="0.726317277426516"/>
          <c:w val="0.28203842940685"/>
          <c:h val="0.145903479236813"/>
        </c:manualLayout>
      </c:layout>
      <c:overlay val="false"/>
      <c:spPr>
        <a:noFill/>
        <a:ln w="2143">
          <a:solidFill>
            <a:srgbClr val="000000"/>
          </a:solidFill>
          <a:prstDash val="solid"/>
        </a:ln>
      </c:spPr>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legend>
    <c:plotVisOnly val="true"/>
    <c:dispBlanksAs val="zero"/>
    <c:showDLblsOverMax val="false"/>
  </c:chart>
  <c:spPr>
    <a:noFill/>
    <a:ln w="9525" cap="flat" cmpd="sng" algn="ctr">
      <a:noFill/>
      <a:prstDash val="solid"/>
      <a:round/>
    </a:ln>
  </c:spPr>
  <c:txPr>
    <a:bodyPr/>
    <a:lstStyle/>
    <a:p>
      <a:pPr>
        <a:defRPr lang="zh-CN" sz="54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409104169401838"/>
          <c:y val="0.134650225207016"/>
          <c:w val="0.184810126582279"/>
          <c:h val="0.424418604651163"/>
        </c:manualLayout>
      </c:layout>
      <c:pieChart>
        <c:varyColors val="true"/>
        <c:ser>
          <c:idx val="0"/>
          <c:order val="0"/>
          <c:tx>
            <c:strRef>
              <c:f>Sheet1!$A$2</c:f>
              <c:strCache>
                <c:ptCount val="1"/>
                <c:pt idx="0">
                  <c:v>总计</c:v>
                </c:pt>
              </c:strCache>
            </c:strRef>
          </c:tx>
          <c:spPr>
            <a:solidFill>
              <a:srgbClr val="9999FF"/>
            </a:solidFill>
            <a:ln w="12723">
              <a:solidFill>
                <a:srgbClr val="000000"/>
              </a:solidFill>
              <a:prstDash val="solid"/>
            </a:ln>
          </c:spPr>
          <c:explosion val="0"/>
          <c:dPt>
            <c:idx val="0"/>
            <c:bubble3D val="false"/>
            <c:spPr>
              <a:solidFill>
                <a:srgbClr val="9999FF"/>
              </a:solidFill>
              <a:ln w="12723">
                <a:solidFill>
                  <a:srgbClr val="000000"/>
                </a:solidFill>
                <a:prstDash val="solid"/>
              </a:ln>
            </c:spPr>
          </c:dPt>
          <c:dPt>
            <c:idx val="1"/>
            <c:bubble3D val="false"/>
            <c:spPr>
              <a:solidFill>
                <a:srgbClr val="993366"/>
              </a:solidFill>
              <a:ln w="12723">
                <a:solidFill>
                  <a:srgbClr val="000000"/>
                </a:solidFill>
                <a:prstDash val="solid"/>
              </a:ln>
            </c:spPr>
          </c:dPt>
          <c:dLbls>
            <c:numFmt formatCode="0%" sourceLinked="false"/>
            <c:spPr>
              <a:noFill/>
              <a:ln w="25445">
                <a:noFill/>
              </a:ln>
              <a:effectLst/>
            </c:spPr>
            <c:txPr>
              <a:bodyPr rot="0" spcFirstLastPara="0" vertOverflow="ellipsis" vert="horz" wrap="square" lIns="38100" tIns="19050" rIns="38100" bIns="19050" anchor="ctr" anchorCtr="true"/>
              <a:lstStyle/>
              <a:p>
                <a:pPr>
                  <a:defRPr lang="zh-CN" sz="1000" b="0" i="0" u="none" strike="noStrike" kern="1200" baseline="0">
                    <a:solidFill>
                      <a:srgbClr val="000000"/>
                    </a:solidFill>
                    <a:latin typeface="宋体" charset="-122"/>
                    <a:ea typeface="宋体" charset="-122"/>
                    <a:cs typeface="宋体" charset="-122"/>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Sheet1!$B$1:$C$1</c:f>
              <c:strCache>
                <c:ptCount val="2"/>
                <c:pt idx="0">
                  <c:v>基本支出</c:v>
                </c:pt>
                <c:pt idx="1">
                  <c:v>项目支出</c:v>
                </c:pt>
              </c:strCache>
            </c:strRef>
          </c:cat>
          <c:val>
            <c:numRef>
              <c:f>Sheet1!$B$2:$C$2</c:f>
              <c:numCache>
                <c:formatCode>General</c:formatCode>
                <c:ptCount val="2"/>
                <c:pt idx="0">
                  <c:v>634.1</c:v>
                </c:pt>
                <c:pt idx="1">
                  <c:v>387.05</c:v>
                </c:pt>
              </c:numCache>
            </c:numRef>
          </c:val>
        </c:ser>
        <c:dLbls>
          <c:showLegendKey val="false"/>
          <c:showVal val="false"/>
          <c:showCatName val="false"/>
          <c:showSerName val="false"/>
          <c:showPercent val="true"/>
          <c:showBubbleSize val="false"/>
          <c:showLeaderLines val="true"/>
        </c:dLbls>
        <c:firstSliceAng val="0"/>
      </c:pieChart>
      <c:spPr>
        <a:solidFill>
          <a:srgbClr val="C0C0C0"/>
        </a:solidFill>
        <a:ln w="12723">
          <a:solidFill>
            <a:srgbClr val="808080"/>
          </a:solidFill>
          <a:prstDash val="solid"/>
        </a:ln>
      </c:spPr>
    </c:plotArea>
    <c:legend>
      <c:legendPos val="b"/>
      <c:legendEntry>
        <c:idx val="0"/>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legendEntry>
      <c:legendEntry>
        <c:idx val="1"/>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legendEntry>
      <c:layout>
        <c:manualLayout>
          <c:xMode val="edge"/>
          <c:yMode val="edge"/>
          <c:x val="0.340695709627681"/>
          <c:y val="0.664963833559838"/>
          <c:w val="0.311392405063291"/>
          <c:h val="0.11046511627907"/>
        </c:manualLayout>
      </c:layout>
      <c:overlay val="false"/>
      <c:spPr>
        <a:noFill/>
        <a:ln w="3181">
          <a:solidFill>
            <a:srgbClr val="000000"/>
          </a:solidFill>
          <a:prstDash val="solid"/>
        </a:ln>
      </c:spPr>
      <c:txPr>
        <a:bodyPr rot="0" spcFirstLastPara="0" vertOverflow="ellipsis" vert="horz" wrap="square" anchor="ctr" anchorCtr="true"/>
        <a:lstStyle/>
        <a:p>
          <a:pPr>
            <a:defRPr lang="zh-CN" sz="1000" b="0" i="0" u="none" strike="noStrike" kern="1200" baseline="0">
              <a:solidFill>
                <a:srgbClr val="000000"/>
              </a:solidFill>
              <a:latin typeface="宋体" charset="-122"/>
              <a:ea typeface="宋体" charset="-122"/>
              <a:cs typeface="宋体" charset="-122"/>
            </a:defRPr>
          </a:pPr>
        </a:p>
      </c:txPr>
    </c:legend>
    <c:plotVisOnly val="true"/>
    <c:dispBlanksAs val="zero"/>
    <c:showDLblsOverMax val="false"/>
  </c:chart>
  <c:spPr>
    <a:noFill/>
    <a:ln w="9525" cap="flat" cmpd="sng" algn="ctr">
      <a:noFill/>
      <a:prstDash val="solid"/>
      <a:round/>
    </a:ln>
  </c:spPr>
  <c:txPr>
    <a:bodyPr/>
    <a:lstStyle/>
    <a:p>
      <a:pPr>
        <a:defRPr lang="zh-CN" sz="1000" b="0" i="0" u="none" strike="noStrike" baseline="0">
          <a:solidFill>
            <a:srgbClr val="000000"/>
          </a:solidFill>
          <a:latin typeface="宋体" charset="-122"/>
          <a:ea typeface="宋体" charset="-122"/>
          <a:cs typeface="宋体"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00482764553798"/>
          <c:y val="0.0473732138488443"/>
          <c:w val="0.761310452418097"/>
          <c:h val="0.756972111553785"/>
        </c:manualLayout>
      </c:layout>
      <c:barChart>
        <c:barDir val="col"/>
        <c:grouping val="clustered"/>
        <c:varyColors val="false"/>
        <c:ser>
          <c:idx val="0"/>
          <c:order val="0"/>
          <c:tx>
            <c:strRef>
              <c:f>Sheet1!$A$2</c:f>
              <c:strCache>
                <c:ptCount val="1"/>
                <c:pt idx="0">
                  <c:v>20年</c:v>
                </c:pt>
              </c:strCache>
            </c:strRef>
          </c:tx>
          <c:spPr>
            <a:solidFill>
              <a:srgbClr val="9999FF"/>
            </a:solidFill>
            <a:ln w="12700">
              <a:solidFill>
                <a:srgbClr val="000000"/>
              </a:solidFill>
              <a:prstDash val="solid"/>
            </a:ln>
          </c:spPr>
          <c:invertIfNegative val="false"/>
          <c:dLbls>
            <c:spPr>
              <a:noFill/>
              <a:ln w="25400">
                <a:noFill/>
              </a:ln>
              <a:effectLst/>
            </c:spPr>
            <c:txPr>
              <a:bodyPr rot="0" spcFirstLastPara="0" vertOverflow="ellipsis" vert="horz" wrap="square" lIns="38100" tIns="19050" rIns="38100" bIns="19050" anchor="ctr" anchorCtr="true"/>
              <a:lstStyle/>
              <a:p>
                <a:pPr>
                  <a:defRPr lang="zh-CN" sz="1200" b="0" i="0" u="none" strike="noStrike" kern="1200" baseline="30000">
                    <a:solidFill>
                      <a:srgbClr val="000000"/>
                    </a:solidFill>
                    <a:latin typeface="宋体" charset="-122"/>
                    <a:ea typeface="宋体" charset="-122"/>
                    <a:cs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Sheet1!$B$1:$D$1</c:f>
              <c:strCache>
                <c:ptCount val="3"/>
                <c:pt idx="0">
                  <c:v>财政拨款收入总数</c:v>
                </c:pt>
                <c:pt idx="1">
                  <c:v>财政拨款支出总数</c:v>
                </c:pt>
                <c:pt idx="2">
                  <c:v>财政拨款收入支出总计</c:v>
                </c:pt>
              </c:strCache>
            </c:strRef>
          </c:cat>
          <c:val>
            <c:numRef>
              <c:f>Sheet1!$B$2:$D$2</c:f>
              <c:numCache>
                <c:formatCode>General</c:formatCode>
                <c:ptCount val="3"/>
                <c:pt idx="0">
                  <c:v>729.25</c:v>
                </c:pt>
                <c:pt idx="1">
                  <c:v>678.17</c:v>
                </c:pt>
                <c:pt idx="2">
                  <c:v>1407.42</c:v>
                </c:pt>
              </c:numCache>
            </c:numRef>
          </c:val>
        </c:ser>
        <c:ser>
          <c:idx val="1"/>
          <c:order val="1"/>
          <c:tx>
            <c:strRef>
              <c:f>Sheet1!$A$3</c:f>
              <c:strCache>
                <c:ptCount val="1"/>
                <c:pt idx="0">
                  <c:v>21年</c:v>
                </c:pt>
              </c:strCache>
            </c:strRef>
          </c:tx>
          <c:spPr>
            <a:solidFill>
              <a:srgbClr val="00CCFF"/>
            </a:solidFill>
            <a:ln w="12700">
              <a:solidFill>
                <a:srgbClr val="000000"/>
              </a:solidFill>
              <a:prstDash val="solid"/>
            </a:ln>
          </c:spPr>
          <c:invertIfNegative val="false"/>
          <c:dLbls>
            <c:spPr>
              <a:noFill/>
              <a:ln w="25400">
                <a:noFill/>
              </a:ln>
              <a:effectLst/>
            </c:spPr>
            <c:txPr>
              <a:bodyPr rot="0" spcFirstLastPara="0" vertOverflow="ellipsis" vert="horz" wrap="square" lIns="38100" tIns="19050" rIns="38100" bIns="19050" anchor="ctr" anchorCtr="true"/>
              <a:lstStyle/>
              <a:p>
                <a:pPr>
                  <a:defRPr lang="zh-CN" sz="1200" b="0" i="0" u="none" strike="noStrike" kern="1200" baseline="30000">
                    <a:solidFill>
                      <a:srgbClr val="000000"/>
                    </a:solidFill>
                    <a:latin typeface="宋体" charset="-122"/>
                    <a:ea typeface="宋体" charset="-122"/>
                    <a:cs typeface="宋体" charset="-122"/>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Sheet1!$B$1:$D$1</c:f>
              <c:strCache>
                <c:ptCount val="3"/>
                <c:pt idx="0">
                  <c:v>财政拨款收入总数</c:v>
                </c:pt>
                <c:pt idx="1">
                  <c:v>财政拨款支出总数</c:v>
                </c:pt>
                <c:pt idx="2">
                  <c:v>财政拨款收入支出总计</c:v>
                </c:pt>
              </c:strCache>
            </c:strRef>
          </c:cat>
          <c:val>
            <c:numRef>
              <c:f>Sheet1!$B$3:$D$3</c:f>
              <c:numCache>
                <c:formatCode>General</c:formatCode>
                <c:ptCount val="3"/>
                <c:pt idx="0">
                  <c:v>861.66</c:v>
                </c:pt>
                <c:pt idx="1">
                  <c:v>1021.15</c:v>
                </c:pt>
                <c:pt idx="2">
                  <c:v>1882.81</c:v>
                </c:pt>
              </c:numCache>
            </c:numRef>
          </c:val>
        </c:ser>
        <c:dLbls>
          <c:showLegendKey val="false"/>
          <c:showVal val="true"/>
          <c:showCatName val="false"/>
          <c:showSerName val="false"/>
          <c:showPercent val="false"/>
          <c:showBubbleSize val="false"/>
        </c:dLbls>
        <c:gapWidth val="100"/>
        <c:axId val="285053312"/>
        <c:axId val="285054848"/>
      </c:barChart>
      <c:catAx>
        <c:axId val="285053312"/>
        <c:scaling>
          <c:orientation val="minMax"/>
        </c:scaling>
        <c:delete val="false"/>
        <c:axPos val="b"/>
        <c:numFmt formatCode="General" sourceLinked="true"/>
        <c:majorTickMark val="in"/>
        <c:minorTickMark val="none"/>
        <c:tickLblPos val="low"/>
        <c:spPr>
          <a:ln w="3175" cap="flat" cmpd="sng" algn="ctr">
            <a:solidFill>
              <a:srgbClr val="000000"/>
            </a:solidFill>
            <a:prstDash val="solid"/>
            <a:round/>
          </a:ln>
        </c:spPr>
        <c:txPr>
          <a:bodyPr rot="0" spcFirstLastPara="0" vertOverflow="ellipsis" vert="horz" wrap="square" anchor="ctr" anchorCtr="true"/>
          <a:lstStyle/>
          <a:p>
            <a:pPr>
              <a:defRPr lang="zh-CN" sz="1200" b="0" i="0" u="none" strike="noStrike" kern="1200" baseline="30000">
                <a:solidFill>
                  <a:srgbClr val="000000"/>
                </a:solidFill>
                <a:latin typeface="宋体" charset="-122"/>
                <a:ea typeface="宋体" charset="-122"/>
                <a:cs typeface="宋体" charset="-122"/>
              </a:defRPr>
            </a:pPr>
          </a:p>
        </c:txPr>
        <c:crossAx val="285054848"/>
        <c:crosses val="autoZero"/>
        <c:auto val="true"/>
        <c:lblAlgn val="ctr"/>
        <c:lblOffset val="100"/>
        <c:tickLblSkip val="1"/>
        <c:noMultiLvlLbl val="false"/>
      </c:catAx>
      <c:valAx>
        <c:axId val="285054848"/>
        <c:scaling>
          <c:orientation val="minMax"/>
          <c:max val="1500"/>
          <c:min val="0"/>
        </c:scaling>
        <c:delete val="false"/>
        <c:axPos val="l"/>
        <c:majorGridlines>
          <c:spPr>
            <a:ln w="3175" cap="flat" cmpd="sng" algn="ctr">
              <a:solidFill>
                <a:srgbClr val="000000"/>
              </a:solidFill>
              <a:prstDash val="solid"/>
              <a:round/>
            </a:ln>
          </c:spPr>
        </c:majorGridlines>
        <c:title>
          <c:tx>
            <c:rich>
              <a:bodyPr rot="0" spcFirstLastPara="0" vertOverflow="ellipsis" vert="horz" wrap="square" anchor="ctr" anchorCtr="true"/>
              <a:lstStyle/>
              <a:p>
                <a:pPr algn="ctr">
                  <a:defRPr lang="zh-CN" sz="1200" b="0" i="0" u="none" strike="noStrike" kern="1200" baseline="30000">
                    <a:solidFill>
                      <a:srgbClr val="000000"/>
                    </a:solidFill>
                    <a:latin typeface="宋体" charset="-122"/>
                    <a:ea typeface="宋体" charset="-122"/>
                    <a:cs typeface="宋体" charset="-122"/>
                  </a:defRPr>
                </a:pPr>
                <a:r>
                  <a:rPr lang="zh-CN" altLang="en-US"/>
                  <a:t>单位：万</a:t>
                </a:r>
                <a:endParaRPr lang="zh-CN" altLang="en-US"/>
              </a:p>
            </c:rich>
          </c:tx>
          <c:layout>
            <c:manualLayout>
              <c:xMode val="edge"/>
              <c:yMode val="edge"/>
              <c:x val="0.140405616224649"/>
              <c:y val="0.0159362549800797"/>
            </c:manualLayout>
          </c:layout>
          <c:overlay val="false"/>
          <c:spPr>
            <a:noFill/>
            <a:ln w="25400">
              <a:noFill/>
            </a:ln>
          </c:spPr>
        </c:title>
        <c:numFmt formatCode="General" sourceLinked="true"/>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true"/>
          <a:lstStyle/>
          <a:p>
            <a:pPr>
              <a:defRPr lang="zh-CN" sz="1200" b="0" i="0" u="none" strike="noStrike" kern="1200" baseline="30000">
                <a:solidFill>
                  <a:srgbClr val="000000"/>
                </a:solidFill>
                <a:latin typeface="宋体" charset="-122"/>
                <a:ea typeface="宋体" charset="-122"/>
                <a:cs typeface="宋体" charset="-122"/>
              </a:defRPr>
            </a:pPr>
          </a:p>
        </c:txPr>
        <c:crossAx val="285053312"/>
        <c:crosses val="autoZero"/>
        <c:crossBetween val="between"/>
        <c:majorUnit val="200"/>
      </c:valAx>
      <c:spPr>
        <a:noFill/>
        <a:ln w="25400">
          <a:noFill/>
        </a:ln>
        <a:effectLst/>
      </c:spPr>
    </c:plotArea>
    <c:legend>
      <c:legendPos val="r"/>
      <c:layout>
        <c:manualLayout>
          <c:xMode val="edge"/>
          <c:yMode val="edge"/>
          <c:x val="0.915756630265211"/>
          <c:y val="0.402390438247012"/>
          <c:w val="0.078003120124805"/>
          <c:h val="0.195219123505976"/>
        </c:manualLayout>
      </c:layout>
      <c:overlay val="false"/>
      <c:spPr>
        <a:noFill/>
        <a:ln w="3175">
          <a:solidFill>
            <a:srgbClr val="000000"/>
          </a:solidFill>
          <a:prstDash val="solid"/>
        </a:ln>
      </c:spPr>
      <c:txPr>
        <a:bodyPr rot="0" spcFirstLastPara="0" vertOverflow="ellipsis" vert="horz" wrap="square" anchor="ctr" anchorCtr="true"/>
        <a:lstStyle/>
        <a:p>
          <a:pPr>
            <a:defRPr lang="zh-CN" sz="1100" b="0" i="0" u="none" strike="noStrike" kern="1200" baseline="30000">
              <a:solidFill>
                <a:srgbClr val="000000"/>
              </a:solidFill>
              <a:latin typeface="宋体" charset="-122"/>
              <a:ea typeface="宋体" charset="-122"/>
              <a:cs typeface="宋体" charset="-122"/>
            </a:defRPr>
          </a:pPr>
        </a:p>
      </c:txPr>
    </c:legend>
    <c:plotVisOnly val="true"/>
    <c:dispBlanksAs val="gap"/>
    <c:showDLblsOverMax val="false"/>
  </c:chart>
  <c:spPr>
    <a:noFill/>
    <a:ln w="9525" cap="flat" cmpd="sng" algn="ctr">
      <a:noFill/>
      <a:prstDash val="solid"/>
      <a:round/>
    </a:ln>
  </c:spPr>
  <c:txPr>
    <a:bodyPr/>
    <a:lstStyle/>
    <a:p>
      <a:pPr>
        <a:defRPr lang="zh-CN" sz="1200" b="0" i="0" u="none" strike="noStrike" baseline="30000">
          <a:solidFill>
            <a:srgbClr val="000000"/>
          </a:solidFill>
          <a:latin typeface="宋体" charset="-122"/>
          <a:ea typeface="宋体" charset="-122"/>
          <a:cs typeface="宋体" charset="-122"/>
        </a:defRPr>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2044</Words>
  <Characters>11655</Characters>
  <Lines>97</Lines>
  <Paragraphs>27</Paragraphs>
  <TotalTime>42</TotalTime>
  <ScaleCrop>false</ScaleCrop>
  <LinksUpToDate>false</LinksUpToDate>
  <CharactersWithSpaces>13672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2022-09-22T14:50:00Z</dcterms:created>
  <dc:creator>曹颖</dc:creator>
  <cp:lastModifiedBy>jcy</cp:lastModifiedBy>
  <cp:lastPrinted>2022-08-08T17:11:00Z</cp:lastPrinted>
  <dcterms:modified xsi:type="dcterms:W3CDTF">2022-09-23T18:26:46Z</dcterms:modified>
  <dc:title>四川省***</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5D99B4C6F5FC4975A2C9043BF07DEBE9</vt:lpwstr>
  </property>
</Properties>
</file>