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77193"/>
      <w:bookmarkStart w:id="2" w:name="_Toc15378441"/>
      <w:bookmarkStart w:id="3" w:name="_Toc15396475"/>
      <w:bookmarkStart w:id="4" w:name="_Toc15377425"/>
      <w:bookmarkStart w:id="5" w:name="_Toc15396597"/>
      <w:r>
        <w:rPr>
          <w:rFonts w:ascii="黑体" w:hAnsi="黑体" w:eastAsia="黑体"/>
          <w:color w:val="000000"/>
          <w:sz w:val="72"/>
          <w:szCs w:val="72"/>
        </w:rPr>
        <w:t>201</w:t>
      </w:r>
      <w:r>
        <w:rPr>
          <w:rFonts w:hint="eastAsia" w:ascii="黑体" w:hAnsi="黑体" w:eastAsia="黑体"/>
          <w:color w:val="000000"/>
          <w:sz w:val="72"/>
          <w:szCs w:val="72"/>
        </w:rPr>
        <w:t>9</w:t>
      </w:r>
      <w:r>
        <w:rPr>
          <w:rFonts w:hint="eastAsia" w:ascii="方正小标宋简体" w:hAnsi="宋体" w:eastAsia="方正小标宋简体"/>
          <w:color w:val="000000"/>
          <w:sz w:val="72"/>
          <w:szCs w:val="72"/>
        </w:rPr>
        <w:t>年度</w:t>
      </w:r>
      <w:bookmarkEnd w:id="1"/>
      <w:bookmarkEnd w:id="2"/>
      <w:bookmarkEnd w:id="3"/>
      <w:bookmarkEnd w:id="4"/>
      <w:bookmarkEnd w:id="5"/>
    </w:p>
    <w:p>
      <w:pPr>
        <w:adjustRightInd w:val="0"/>
        <w:snapToGrid w:val="0"/>
        <w:spacing w:line="360" w:lineRule="auto"/>
        <w:jc w:val="center"/>
        <w:outlineLvl w:val="0"/>
        <w:rPr>
          <w:rFonts w:ascii="方正小标宋简体" w:hAnsi="宋体" w:eastAsia="方正小标宋简体"/>
          <w:color w:val="000000"/>
          <w:sz w:val="72"/>
          <w:szCs w:val="72"/>
        </w:rPr>
      </w:pPr>
      <w:bookmarkStart w:id="6" w:name="_Toc15377194"/>
      <w:bookmarkStart w:id="7" w:name="_Toc15378442"/>
      <w:bookmarkStart w:id="8" w:name="_Toc15396598"/>
      <w:bookmarkStart w:id="9" w:name="_Toc15396476"/>
      <w:bookmarkStart w:id="10" w:name="_Toc15377426"/>
      <w:r>
        <w:rPr>
          <w:rFonts w:hint="eastAsia" w:ascii="方正小标宋简体" w:hAnsi="宋体" w:eastAsia="方正小标宋简体"/>
          <w:color w:val="000000"/>
          <w:sz w:val="72"/>
          <w:szCs w:val="72"/>
        </w:rPr>
        <w:t>四川省</w:t>
      </w:r>
      <w:bookmarkEnd w:id="0"/>
      <w:bookmarkStart w:id="11" w:name="_Toc15306268"/>
      <w:r>
        <w:rPr>
          <w:rFonts w:hint="eastAsia" w:ascii="方正小标宋简体" w:hAnsi="宋体" w:eastAsia="方正小标宋简体"/>
          <w:color w:val="000000"/>
          <w:sz w:val="72"/>
          <w:szCs w:val="72"/>
        </w:rPr>
        <w:t>雅安市石棉县人民检察院部门决算</w:t>
      </w:r>
      <w:bookmarkEnd w:id="6"/>
      <w:bookmarkEnd w:id="7"/>
      <w:bookmarkEnd w:id="8"/>
      <w:bookmarkEnd w:id="9"/>
      <w:bookmarkEnd w:id="10"/>
      <w:bookmarkEnd w:id="11"/>
    </w:p>
    <w:p>
      <w:pPr>
        <w:adjustRightInd w:val="0"/>
        <w:snapToGrid w:val="0"/>
        <w:spacing w:line="360" w:lineRule="auto"/>
        <w:jc w:val="center"/>
        <w:outlineLvl w:val="0"/>
        <w:rPr>
          <w:rFonts w:ascii="方正小标宋简体" w:hAnsi="宋体" w:eastAsia="方正小标宋简体"/>
          <w:color w:val="000000"/>
          <w:sz w:val="52"/>
          <w:szCs w:val="52"/>
        </w:rPr>
      </w:pPr>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p>
    <w:p>
      <w:pPr>
        <w:pStyle w:val="10"/>
      </w:pPr>
      <w:r>
        <w:rPr>
          <w:rFonts w:hint="eastAsia"/>
        </w:rPr>
        <w:t>公开时间：2020年9月28日</w:t>
      </w:r>
    </w:p>
    <w:p/>
    <w:p>
      <w:pPr>
        <w:pStyle w:val="10"/>
        <w:adjustRightInd w:val="0"/>
        <w:snapToGrid w:val="0"/>
        <w:spacing w:before="0" w:line="440" w:lineRule="exact"/>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第一部分 部门概况</w:t>
      </w:r>
      <w:r>
        <w:rPr>
          <w:rFonts w:hint="eastAsia" w:asciiTheme="minorEastAsia" w:hAnsiTheme="minorEastAsia" w:eastAsiaTheme="minorEastAsia" w:cstheme="minorEastAsia"/>
          <w:sz w:val="24"/>
          <w:u w:val="dotted"/>
        </w:rPr>
        <w:t xml:space="preserve">                                                  </w:t>
      </w:r>
      <w:r>
        <w:rPr>
          <w:rFonts w:hint="eastAsia" w:asciiTheme="minorEastAsia" w:hAnsiTheme="minorEastAsia" w:eastAsiaTheme="minorEastAsia" w:cstheme="minorEastAsia"/>
          <w:sz w:val="24"/>
        </w:rPr>
        <w:t>4</w:t>
      </w:r>
    </w:p>
    <w:p>
      <w:pPr>
        <w:pStyle w:val="11"/>
        <w:adjustRightInd w:val="0"/>
        <w:snapToGrid w:val="0"/>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一、基本职能及主要工作</w:t>
      </w:r>
      <w:r>
        <w:rPr>
          <w:rFonts w:hint="eastAsia" w:asciiTheme="minorEastAsia" w:hAnsiTheme="minorEastAsia" w:eastAsiaTheme="minorEastAsia" w:cstheme="minorEastAsia"/>
          <w:sz w:val="24"/>
          <w:u w:val="dotted"/>
        </w:rPr>
        <w:t xml:space="preserve">                                          4</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二、机构设置</w:t>
      </w:r>
      <w:r>
        <w:rPr>
          <w:rFonts w:hint="eastAsia" w:asciiTheme="minorEastAsia" w:hAnsiTheme="minorEastAsia" w:eastAsiaTheme="minorEastAsia" w:cstheme="minorEastAsia"/>
          <w:sz w:val="24"/>
          <w:u w:val="dotted"/>
        </w:rPr>
        <w:t xml:space="preserve">                                                    6</w:t>
      </w:r>
    </w:p>
    <w:p>
      <w:pPr>
        <w:pStyle w:val="10"/>
        <w:adjustRightInd w:val="0"/>
        <w:snapToGrid w:val="0"/>
        <w:spacing w:before="0" w:line="440" w:lineRule="exact"/>
        <w:jc w:val="left"/>
        <w:rPr>
          <w:rFonts w:asciiTheme="minorEastAsia" w:hAnsiTheme="minorEastAsia" w:eastAsiaTheme="minorEastAsia" w:cstheme="minorEastAsia"/>
          <w:sz w:val="24"/>
          <w:szCs w:val="24"/>
          <w:u w:val="dotted"/>
        </w:rPr>
      </w:pPr>
      <w:r>
        <w:rPr>
          <w:rFonts w:hint="eastAsia" w:asciiTheme="minorEastAsia" w:hAnsiTheme="minorEastAsia" w:eastAsiaTheme="minorEastAsia" w:cstheme="minorEastAsia"/>
          <w:sz w:val="24"/>
        </w:rPr>
        <w:t>第二部分2019年度部门决算情况说明</w:t>
      </w:r>
      <w:r>
        <w:rPr>
          <w:rFonts w:hint="eastAsia" w:asciiTheme="minorEastAsia" w:hAnsiTheme="minorEastAsia" w:eastAsiaTheme="minorEastAsia" w:cstheme="minorEastAsia"/>
          <w:sz w:val="24"/>
          <w:u w:val="dotted"/>
        </w:rPr>
        <w:t xml:space="preserve">                                  7</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一、收入支出决算总体情况说明</w:t>
      </w:r>
      <w:r>
        <w:rPr>
          <w:rFonts w:hint="eastAsia" w:asciiTheme="minorEastAsia" w:hAnsiTheme="minorEastAsia" w:eastAsiaTheme="minorEastAsia" w:cstheme="minorEastAsia"/>
          <w:sz w:val="24"/>
          <w:u w:val="dotted"/>
        </w:rPr>
        <w:t xml:space="preserve">                                    7</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二、收入决算情况说明</w:t>
      </w:r>
      <w:r>
        <w:rPr>
          <w:rFonts w:hint="eastAsia" w:asciiTheme="minorEastAsia" w:hAnsiTheme="minorEastAsia" w:eastAsiaTheme="minorEastAsia" w:cstheme="minorEastAsia"/>
          <w:sz w:val="24"/>
          <w:u w:val="dotted"/>
        </w:rPr>
        <w:t xml:space="preserve">                                            7</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三、支出决算情况说明</w:t>
      </w:r>
      <w:r>
        <w:rPr>
          <w:rFonts w:hint="eastAsia" w:asciiTheme="minorEastAsia" w:hAnsiTheme="minorEastAsia" w:eastAsiaTheme="minorEastAsia" w:cstheme="minorEastAsia"/>
          <w:sz w:val="24"/>
          <w:u w:val="dotted"/>
        </w:rPr>
        <w:t xml:space="preserve">                                            8</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四、财政拨款收入支出决算总体情况说明</w:t>
      </w:r>
      <w:r>
        <w:rPr>
          <w:rFonts w:hint="eastAsia" w:asciiTheme="minorEastAsia" w:hAnsiTheme="minorEastAsia" w:eastAsiaTheme="minorEastAsia" w:cstheme="minorEastAsia"/>
          <w:sz w:val="24"/>
          <w:u w:val="dotted"/>
        </w:rPr>
        <w:t xml:space="preserve">                            8</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五、一般公共预算财政拨款支出决算情况说明</w:t>
      </w:r>
      <w:r>
        <w:rPr>
          <w:rFonts w:hint="eastAsia" w:asciiTheme="minorEastAsia" w:hAnsiTheme="minorEastAsia" w:eastAsiaTheme="minorEastAsia" w:cstheme="minorEastAsia"/>
          <w:sz w:val="24"/>
          <w:u w:val="dotted"/>
        </w:rPr>
        <w:t xml:space="preserve">                        9</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六、一般公共预算财政拨款基本支出决算情况说明</w:t>
      </w:r>
      <w:r>
        <w:rPr>
          <w:rFonts w:hint="eastAsia" w:asciiTheme="minorEastAsia" w:hAnsiTheme="minorEastAsia" w:eastAsiaTheme="minorEastAsia" w:cstheme="minorEastAsia"/>
          <w:sz w:val="24"/>
          <w:u w:val="dotted"/>
        </w:rPr>
        <w:t xml:space="preserve">                   11</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七、“三公”经费财政拨款支出决算情况说明</w:t>
      </w:r>
      <w:r>
        <w:rPr>
          <w:rFonts w:hint="eastAsia" w:asciiTheme="minorEastAsia" w:hAnsiTheme="minorEastAsia" w:eastAsiaTheme="minorEastAsia" w:cstheme="minorEastAsia"/>
          <w:sz w:val="24"/>
          <w:u w:val="dotted"/>
        </w:rPr>
        <w:t xml:space="preserve">                        12</w:t>
      </w:r>
    </w:p>
    <w:p>
      <w:pPr>
        <w:pStyle w:val="11"/>
        <w:adjustRightInd w:val="0"/>
        <w:snapToGrid w:val="0"/>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八、政府性基金预算支出决算情况说明</w:t>
      </w:r>
      <w:r>
        <w:rPr>
          <w:rFonts w:hint="eastAsia" w:asciiTheme="minorEastAsia" w:hAnsiTheme="minorEastAsia" w:eastAsiaTheme="minorEastAsia" w:cstheme="minorEastAsia"/>
          <w:sz w:val="24"/>
          <w:u w:val="dotted"/>
        </w:rPr>
        <w:t xml:space="preserve">                             </w:t>
      </w:r>
      <w:r>
        <w:rPr>
          <w:rFonts w:hint="eastAsia" w:asciiTheme="minorEastAsia" w:hAnsiTheme="minorEastAsia" w:eastAsiaTheme="minorEastAsia" w:cstheme="minorEastAsia"/>
          <w:sz w:val="24"/>
        </w:rPr>
        <w:t xml:space="preserve">13           </w:t>
      </w:r>
    </w:p>
    <w:p>
      <w:pPr>
        <w:pStyle w:val="11"/>
        <w:adjustRightInd w:val="0"/>
        <w:snapToGrid w:val="0"/>
        <w:spacing w:line="440" w:lineRule="exact"/>
        <w:ind w:leftChars="0"/>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九、 国有资本经营预算支出决算情况说明</w:t>
      </w:r>
      <w:r>
        <w:rPr>
          <w:rFonts w:hint="eastAsia" w:asciiTheme="minorEastAsia" w:hAnsiTheme="minorEastAsia" w:eastAsiaTheme="minorEastAsia" w:cstheme="minorEastAsia"/>
          <w:sz w:val="24"/>
          <w:u w:val="dotted"/>
        </w:rPr>
        <w:t xml:space="preserve">                          14</w:t>
      </w:r>
    </w:p>
    <w:p>
      <w:pPr>
        <w:adjustRightInd w:val="0"/>
        <w:snapToGrid w:val="0"/>
        <w:spacing w:line="440" w:lineRule="exact"/>
        <w:ind w:firstLine="480" w:firstLineChars="200"/>
        <w:jc w:val="left"/>
        <w:rPr>
          <w:rFonts w:asciiTheme="minorEastAsia" w:hAnsiTheme="minorEastAsia" w:eastAsiaTheme="minorEastAsia" w:cstheme="minorEastAsia"/>
          <w:sz w:val="24"/>
        </w:rPr>
      </w:pPr>
      <w:r>
        <w:rPr>
          <w:rStyle w:val="15"/>
          <w:rFonts w:hint="eastAsia" w:asciiTheme="minorEastAsia" w:hAnsiTheme="minorEastAsia" w:eastAsiaTheme="minorEastAsia" w:cstheme="minorEastAsia"/>
          <w:color w:val="000000" w:themeColor="text1"/>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u w:val="dotted"/>
        </w:rPr>
        <w:t xml:space="preserve">                                    14</w:t>
      </w:r>
    </w:p>
    <w:p>
      <w:pPr>
        <w:pStyle w:val="10"/>
        <w:adjustRightInd w:val="0"/>
        <w:snapToGrid w:val="0"/>
        <w:spacing w:before="0" w:line="440" w:lineRule="exact"/>
        <w:jc w:val="left"/>
        <w:rPr>
          <w:rFonts w:asciiTheme="minorEastAsia" w:hAnsiTheme="minorEastAsia" w:eastAsiaTheme="minorEastAsia" w:cstheme="minorEastAsia"/>
          <w:strike/>
          <w:sz w:val="24"/>
          <w:szCs w:val="24"/>
          <w:u w:val="dotted"/>
        </w:rPr>
      </w:pPr>
      <w:r>
        <w:rPr>
          <w:rFonts w:hint="eastAsia" w:asciiTheme="minorEastAsia" w:hAnsiTheme="minorEastAsia" w:eastAsiaTheme="minorEastAsia" w:cstheme="minorEastAsia"/>
          <w:sz w:val="24"/>
        </w:rPr>
        <w:t>第三部分 名词解释</w:t>
      </w:r>
      <w:r>
        <w:rPr>
          <w:rFonts w:hint="eastAsia" w:asciiTheme="minorEastAsia" w:hAnsiTheme="minorEastAsia" w:eastAsiaTheme="minorEastAsia" w:cstheme="minorEastAsia"/>
          <w:sz w:val="24"/>
          <w:u w:val="dotted"/>
        </w:rPr>
        <w:t xml:space="preserve">                                                 20</w:t>
      </w:r>
    </w:p>
    <w:p>
      <w:pPr>
        <w:pStyle w:val="10"/>
        <w:adjustRightInd w:val="0"/>
        <w:snapToGrid w:val="0"/>
        <w:spacing w:before="0" w:line="440" w:lineRule="exact"/>
        <w:jc w:val="left"/>
        <w:rPr>
          <w:rFonts w:asciiTheme="minorEastAsia" w:hAnsiTheme="minorEastAsia" w:eastAsiaTheme="minorEastAsia" w:cstheme="minorEastAsia"/>
          <w:sz w:val="24"/>
          <w:szCs w:val="24"/>
          <w:u w:val="dotted"/>
        </w:rPr>
      </w:pPr>
      <w:r>
        <w:rPr>
          <w:rFonts w:hint="eastAsia" w:asciiTheme="minorEastAsia" w:hAnsiTheme="minorEastAsia" w:eastAsiaTheme="minorEastAsia" w:cstheme="minorEastAsia"/>
          <w:sz w:val="24"/>
        </w:rPr>
        <w:t>第四部分 附件</w:t>
      </w:r>
      <w:r>
        <w:rPr>
          <w:rFonts w:hint="eastAsia" w:asciiTheme="minorEastAsia" w:hAnsiTheme="minorEastAsia" w:eastAsiaTheme="minorEastAsia" w:cstheme="minorEastAsia"/>
          <w:sz w:val="24"/>
          <w:u w:val="dotted"/>
        </w:rPr>
        <w:t xml:space="preserve">                                                     24</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附件1</w:t>
      </w:r>
      <w:r>
        <w:rPr>
          <w:rFonts w:hint="eastAsia" w:asciiTheme="minorEastAsia" w:hAnsiTheme="minorEastAsia" w:eastAsiaTheme="minorEastAsia" w:cstheme="minorEastAsia"/>
          <w:sz w:val="24"/>
          <w:u w:val="dotted"/>
        </w:rPr>
        <w:t xml:space="preserve">                                                          24</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附件2</w:t>
      </w:r>
      <w:r>
        <w:rPr>
          <w:rFonts w:hint="eastAsia" w:asciiTheme="minorEastAsia" w:hAnsiTheme="minorEastAsia" w:eastAsiaTheme="minorEastAsia" w:cstheme="minorEastAsia"/>
          <w:sz w:val="24"/>
          <w:u w:val="dotted"/>
        </w:rPr>
        <w:t xml:space="preserve">                                                          27</w:t>
      </w:r>
    </w:p>
    <w:p>
      <w:pPr>
        <w:pStyle w:val="10"/>
        <w:adjustRightInd w:val="0"/>
        <w:snapToGrid w:val="0"/>
        <w:spacing w:before="0" w:line="440" w:lineRule="exact"/>
        <w:jc w:val="left"/>
        <w:rPr>
          <w:rFonts w:asciiTheme="minorEastAsia" w:hAnsiTheme="minorEastAsia" w:eastAsiaTheme="minorEastAsia" w:cstheme="minorEastAsia"/>
          <w:sz w:val="24"/>
          <w:szCs w:val="24"/>
          <w:u w:val="dotted"/>
        </w:rPr>
      </w:pPr>
      <w:r>
        <w:rPr>
          <w:rFonts w:hint="eastAsia" w:asciiTheme="minorEastAsia" w:hAnsiTheme="minorEastAsia" w:eastAsiaTheme="minorEastAsia" w:cstheme="minorEastAsia"/>
          <w:sz w:val="24"/>
        </w:rPr>
        <w:t>第五部分 附表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一、收入支出决算总表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二、收入决算表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三、支出决算表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四、财政拨款收入支出决算总表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五、财政拨款支出决算明细表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六、一般公共预算财政拨款支出决算表</w:t>
      </w:r>
      <w:r>
        <w:rPr>
          <w:rFonts w:hint="eastAsia" w:asciiTheme="minorEastAsia" w:hAnsiTheme="minorEastAsia" w:eastAsiaTheme="minorEastAsia" w:cstheme="minorEastAsia"/>
          <w:sz w:val="24"/>
          <w:u w:val="dotted"/>
        </w:rPr>
        <w:t xml:space="preserve">                              33 </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七、一般公共预算财政拨款支出决算明细表</w:t>
      </w:r>
      <w:r>
        <w:rPr>
          <w:rFonts w:hint="eastAsia" w:asciiTheme="minorEastAsia" w:hAnsiTheme="minorEastAsia" w:eastAsiaTheme="minorEastAsia" w:cstheme="minorEastAsia"/>
          <w:sz w:val="24"/>
          <w:u w:val="dotted"/>
        </w:rPr>
        <w:t xml:space="preserve">                          33 </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八、一般公共预算财政拨款基本支出决算表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九、一般公共预算财政拨款项目支出决算表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十、一般公共预算财政拨款“三公”经费支出决算表</w:t>
      </w:r>
      <w:r>
        <w:rPr>
          <w:rFonts w:hint="eastAsia" w:asciiTheme="minorEastAsia" w:hAnsiTheme="minorEastAsia" w:eastAsiaTheme="minorEastAsia" w:cstheme="minorEastAsia"/>
          <w:sz w:val="24"/>
          <w:u w:val="dotted"/>
        </w:rPr>
        <w:t xml:space="preserve">                    33 </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十一、政府性基金预算财政拨款收入支出决算表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十二、政府性基金预算财政拨款“三公”经费支出决算表</w:t>
      </w:r>
      <w:r>
        <w:rPr>
          <w:rFonts w:hint="eastAsia" w:asciiTheme="minorEastAsia" w:hAnsiTheme="minorEastAsia" w:eastAsiaTheme="minorEastAsia" w:cstheme="minorEastAsia"/>
          <w:sz w:val="24"/>
          <w:u w:val="dotted"/>
        </w:rPr>
        <w:t xml:space="preserve">               33</w:t>
      </w:r>
    </w:p>
    <w:p>
      <w:pPr>
        <w:pStyle w:val="11"/>
        <w:adjustRightInd w:val="0"/>
        <w:snapToGrid w:val="0"/>
        <w:spacing w:line="440" w:lineRule="exact"/>
        <w:jc w:val="left"/>
        <w:rPr>
          <w:rFonts w:asciiTheme="minorEastAsia" w:hAnsiTheme="minorEastAsia" w:eastAsiaTheme="minorEastAsia" w:cstheme="minorEastAsia"/>
          <w:sz w:val="24"/>
          <w:u w:val="dotted"/>
        </w:rPr>
      </w:pPr>
      <w:r>
        <w:rPr>
          <w:rFonts w:hint="eastAsia" w:asciiTheme="minorEastAsia" w:hAnsiTheme="minorEastAsia" w:eastAsiaTheme="minorEastAsia" w:cstheme="minorEastAsia"/>
          <w:sz w:val="24"/>
        </w:rPr>
        <w:t>十三、国有资本经营预算支出决算表</w:t>
      </w:r>
      <w:r>
        <w:rPr>
          <w:rFonts w:hint="eastAsia" w:asciiTheme="minorEastAsia" w:hAnsiTheme="minorEastAsia" w:eastAsiaTheme="minorEastAsia" w:cstheme="minorEastAsia"/>
          <w:sz w:val="24"/>
          <w:u w:val="dotted"/>
        </w:rPr>
        <w:t xml:space="preserve">                                33</w:t>
      </w:r>
    </w:p>
    <w:p>
      <w:pPr>
        <w:widowControl/>
        <w:spacing w:line="440" w:lineRule="exact"/>
        <w:jc w:val="left"/>
        <w:rPr>
          <w:rFonts w:asciiTheme="minorEastAsia" w:hAnsiTheme="minorEastAsia" w:eastAsiaTheme="minorEastAsia" w:cstheme="minorEastAsia"/>
          <w:bCs/>
          <w:kern w:val="44"/>
          <w:sz w:val="24"/>
        </w:rPr>
      </w:pPr>
      <w:bookmarkStart w:id="12" w:name="_Toc15396599"/>
      <w:bookmarkStart w:id="13" w:name="_Toc15377196"/>
      <w:r>
        <w:rPr>
          <w:rFonts w:hint="eastAsia" w:asciiTheme="minorEastAsia" w:hAnsiTheme="minorEastAsia" w:eastAsiaTheme="minorEastAsia" w:cstheme="minorEastAsia"/>
          <w:b/>
          <w:sz w:val="24"/>
        </w:rPr>
        <w:br w:type="page"/>
      </w:r>
    </w:p>
    <w:p>
      <w:pPr>
        <w:pStyle w:val="2"/>
        <w:jc w:val="center"/>
        <w:rPr>
          <w:rStyle w:val="24"/>
          <w:rFonts w:ascii="黑体" w:hAnsi="黑体" w:eastAsia="黑体"/>
          <w:b w:val="0"/>
          <w:bCs w:val="0"/>
        </w:rPr>
      </w:pPr>
      <w:r>
        <w:rPr>
          <w:rFonts w:hint="eastAsia" w:ascii="黑体" w:hAnsi="黑体" w:eastAsia="黑体"/>
          <w:b w:val="0"/>
        </w:rPr>
        <w:t xml:space="preserve">第一部分 </w:t>
      </w:r>
      <w:r>
        <w:rPr>
          <w:rStyle w:val="24"/>
          <w:rFonts w:hint="eastAsia" w:ascii="黑体" w:hAnsi="黑体" w:eastAsia="黑体"/>
          <w:b w:val="0"/>
          <w:bCs w:val="0"/>
        </w:rPr>
        <w:t>部门概况</w:t>
      </w:r>
      <w:bookmarkEnd w:id="12"/>
      <w:bookmarkEnd w:id="13"/>
      <w:bookmarkStart w:id="14" w:name="_Toc15377197"/>
      <w:bookmarkStart w:id="15" w:name="_Toc15396600"/>
    </w:p>
    <w:p>
      <w:pPr>
        <w:pStyle w:val="2"/>
        <w:ind w:firstLine="640" w:firstLineChars="200"/>
        <w:rPr>
          <w:rStyle w:val="25"/>
          <w:rFonts w:ascii="黑体" w:hAnsi="黑体" w:eastAsia="黑体" w:cs="Times New Roman"/>
          <w:b/>
          <w:bCs w:val="0"/>
          <w:kern w:val="44"/>
        </w:rPr>
      </w:pPr>
      <w:r>
        <w:rPr>
          <w:rFonts w:hint="eastAsia" w:ascii="黑体" w:hAnsi="黑体" w:eastAsia="黑体"/>
          <w:b w:val="0"/>
          <w:color w:val="000000"/>
          <w:sz w:val="32"/>
          <w:szCs w:val="32"/>
        </w:rPr>
        <w:t>一、基</w:t>
      </w:r>
      <w:r>
        <w:rPr>
          <w:rStyle w:val="25"/>
          <w:rFonts w:hint="eastAsia" w:ascii="黑体" w:hAnsi="黑体" w:eastAsia="黑体"/>
          <w:b w:val="0"/>
          <w:bCs w:val="0"/>
        </w:rPr>
        <w:t>本职能及主要工作</w:t>
      </w:r>
      <w:bookmarkEnd w:id="14"/>
      <w:bookmarkEnd w:id="15"/>
    </w:p>
    <w:p>
      <w:pPr>
        <w:pStyle w:val="5"/>
        <w:adjustRightInd w:val="0"/>
        <w:snapToGrid w:val="0"/>
        <w:spacing w:before="93" w:line="600" w:lineRule="exact"/>
        <w:ind w:firstLine="672" w:firstLineChars="210"/>
        <w:outlineLvl w:val="2"/>
        <w:rPr>
          <w:rFonts w:hAnsi="仿宋"/>
          <w:bCs/>
          <w:color w:val="000000"/>
          <w:sz w:val="32"/>
          <w:szCs w:val="32"/>
        </w:rPr>
      </w:pPr>
      <w:bookmarkStart w:id="16" w:name="_Toc15377198"/>
      <w:bookmarkStart w:id="17" w:name="_Toc15378445"/>
      <w:r>
        <w:rPr>
          <w:rFonts w:hint="eastAsia" w:ascii="楷体_GB2312" w:hAnsi="仿宋" w:eastAsia="楷体_GB2312"/>
          <w:bCs/>
          <w:color w:val="000000"/>
          <w:sz w:val="32"/>
          <w:szCs w:val="32"/>
        </w:rPr>
        <w:t>（一）主要职能。</w:t>
      </w:r>
      <w:bookmarkEnd w:id="16"/>
      <w:bookmarkEnd w:id="17"/>
    </w:p>
    <w:p>
      <w:pPr>
        <w:pStyle w:val="5"/>
        <w:adjustRightInd w:val="0"/>
        <w:snapToGrid w:val="0"/>
        <w:spacing w:before="93" w:line="600" w:lineRule="exact"/>
        <w:ind w:firstLine="672" w:firstLineChars="210"/>
        <w:outlineLvl w:val="2"/>
        <w:rPr>
          <w:rFonts w:hAnsi="仿宋"/>
          <w:bCs/>
          <w:color w:val="000000"/>
          <w:sz w:val="32"/>
          <w:szCs w:val="32"/>
        </w:rPr>
      </w:pPr>
      <w:r>
        <w:rPr>
          <w:rFonts w:hint="eastAsia" w:hAnsi="仿宋"/>
          <w:bCs/>
          <w:color w:val="000000"/>
          <w:sz w:val="32"/>
          <w:szCs w:val="32"/>
        </w:rPr>
        <w:t>石棉县人民检察院是国家的法律监督机关，依法行使下列职权：依照法律规定对有关刑事案件行使侦查权；对刑事案件进行审查，批准或者决定是否逮捕犯罪嫌疑人；对刑事案件进行审查，决定是否提起公诉，对决定提起公诉的案件支持公诉；依照法律规定提起公益诉讼；对诉讼活动实行法律监督；对判决、裁定等生效法律文书的执行工作实行法律监督；对监狱、看守所的执法活动实行法律监督；法律规定的其他职权。</w:t>
      </w:r>
    </w:p>
    <w:p>
      <w:pPr>
        <w:pStyle w:val="5"/>
        <w:adjustRightInd w:val="0"/>
        <w:snapToGrid w:val="0"/>
        <w:spacing w:before="93" w:line="600" w:lineRule="exact"/>
        <w:ind w:firstLine="672" w:firstLineChars="210"/>
        <w:outlineLvl w:val="2"/>
        <w:rPr>
          <w:rFonts w:ascii="楷体_GB2312" w:hAnsi="仿宋" w:eastAsia="楷体_GB2312"/>
          <w:bCs/>
          <w:color w:val="000000"/>
          <w:sz w:val="32"/>
          <w:szCs w:val="32"/>
        </w:rPr>
      </w:pPr>
      <w:bookmarkStart w:id="18" w:name="_Toc15377199"/>
      <w:bookmarkStart w:id="19" w:name="_Toc15378446"/>
      <w:r>
        <w:rPr>
          <w:rFonts w:hint="eastAsia" w:ascii="楷体_GB2312" w:hAnsi="仿宋" w:eastAsia="楷体_GB2312"/>
          <w:bCs/>
          <w:color w:val="000000"/>
          <w:sz w:val="32"/>
          <w:szCs w:val="32"/>
        </w:rPr>
        <w:t>（二）2019年重点工作完成情况。</w:t>
      </w:r>
      <w:bookmarkEnd w:id="18"/>
      <w:bookmarkEnd w:id="19"/>
    </w:p>
    <w:p>
      <w:pPr>
        <w:pStyle w:val="5"/>
        <w:adjustRightInd w:val="0"/>
        <w:snapToGrid w:val="0"/>
        <w:spacing w:before="93" w:line="600" w:lineRule="exact"/>
        <w:ind w:firstLine="672" w:firstLineChars="210"/>
        <w:outlineLvl w:val="2"/>
        <w:rPr>
          <w:rFonts w:hAnsi="仿宋"/>
          <w:bCs/>
          <w:color w:val="000000"/>
          <w:sz w:val="32"/>
          <w:szCs w:val="32"/>
        </w:rPr>
      </w:pPr>
      <w:r>
        <w:rPr>
          <w:rFonts w:hint="eastAsia" w:hAnsi="仿宋"/>
          <w:bCs/>
          <w:color w:val="000000"/>
          <w:sz w:val="32"/>
          <w:szCs w:val="32"/>
        </w:rPr>
        <w:t>依法打击刑事犯罪。全年共受理审查逮捕各类刑事案件54件85人，受理审查起诉案件108件145人，提起公诉81件107人，有罪判决率100%。起诉抢劫、抢夺、盗窃等多发性侵财犯罪32人，起诉以危险方法危害公共安全、非法持枪、危险驾驶等危害公共安全犯罪38人，起诉贩卖毒品、容留他人吸毒等涉毒犯罪13人，起诉非法猎捕、杀害濒危野生动物、滥伐林木等破坏环境资源犯罪11人。贯彻宽严相济刑事政策。因无社会危险性不捕13人，对犯罪情节轻微、依法可不判处刑罚的决定不起诉24人。积极适用认罪认罚从宽制度。对符合认罪认罚条件的案件，按照相应程序审理一审案件32件37人，适用率71.11%，提出精准量刑8件9人、幅度量刑12件12人，量刑建议采纳率90.5%。</w:t>
      </w:r>
    </w:p>
    <w:p>
      <w:pPr>
        <w:pStyle w:val="5"/>
        <w:adjustRightInd w:val="0"/>
        <w:snapToGrid w:val="0"/>
        <w:spacing w:before="93" w:line="600" w:lineRule="exact"/>
        <w:ind w:firstLine="672" w:firstLineChars="210"/>
        <w:outlineLvl w:val="2"/>
        <w:rPr>
          <w:rFonts w:hAnsi="仿宋"/>
          <w:bCs/>
          <w:color w:val="000000"/>
          <w:sz w:val="32"/>
          <w:szCs w:val="32"/>
        </w:rPr>
      </w:pPr>
      <w:r>
        <w:rPr>
          <w:rFonts w:hint="eastAsia" w:hAnsi="仿宋"/>
          <w:bCs/>
          <w:color w:val="000000"/>
          <w:sz w:val="32"/>
          <w:szCs w:val="32"/>
        </w:rPr>
        <w:t>稳准狠打击黑恶势力犯罪。受理涉恶审查逮捕案件5件11人，审查起诉1件7人。</w:t>
      </w:r>
    </w:p>
    <w:p>
      <w:pPr>
        <w:pStyle w:val="5"/>
        <w:adjustRightInd w:val="0"/>
        <w:snapToGrid w:val="0"/>
        <w:spacing w:before="93" w:line="600" w:lineRule="exact"/>
        <w:ind w:firstLine="672" w:firstLineChars="210"/>
        <w:outlineLvl w:val="2"/>
        <w:rPr>
          <w:rFonts w:hAnsi="仿宋"/>
          <w:bCs/>
          <w:color w:val="000000"/>
          <w:sz w:val="32"/>
          <w:szCs w:val="32"/>
        </w:rPr>
      </w:pPr>
      <w:r>
        <w:rPr>
          <w:rFonts w:hint="eastAsia" w:hAnsi="仿宋"/>
          <w:bCs/>
          <w:color w:val="000000"/>
          <w:sz w:val="32"/>
          <w:szCs w:val="32"/>
        </w:rPr>
        <w:t>平等保护民营企业合法权益。认真学习贯彻习近平总书记在民营企业座谈会上的重要讲话精神，会同县工商联合力搭建日常联系、联合调研、民主监督、信息互通共享、联合开展宣传培训5项机制，并细化为13条具体措施，共同服务民营经济健康发展。该项工作在7月全市检察机关特色亮点现场会上作经验交流发言。</w:t>
      </w:r>
    </w:p>
    <w:p>
      <w:pPr>
        <w:pStyle w:val="5"/>
        <w:adjustRightInd w:val="0"/>
        <w:snapToGrid w:val="0"/>
        <w:spacing w:before="93" w:line="600" w:lineRule="exact"/>
        <w:ind w:firstLine="672" w:firstLineChars="210"/>
        <w:outlineLvl w:val="2"/>
        <w:rPr>
          <w:rFonts w:hAnsi="仿宋"/>
          <w:bCs/>
          <w:color w:val="000000"/>
          <w:sz w:val="32"/>
          <w:szCs w:val="32"/>
        </w:rPr>
      </w:pPr>
      <w:r>
        <w:rPr>
          <w:rFonts w:hint="eastAsia" w:hAnsi="仿宋"/>
          <w:bCs/>
          <w:color w:val="000000"/>
          <w:sz w:val="32"/>
          <w:szCs w:val="32"/>
        </w:rPr>
        <w:t>精准高效打击职务犯罪。积极适应国家监察体制改革，加强与县监委的沟通协调，受理监委移送职务犯罪6件6人，其中，受贿1件1人，行贿1件1人，挪用公款4件4人。一年来，“监检衔接”配合顺畅，互相制约原则有效落实，依法打击侵犯党和人民群众利益的害群之马。县监委以县医保局原出纳杨某涉嫌挪用公款罪移送审查起诉，我院在审查全案事实证据后，认为杨某利用职务便利，多次窃取医保基金予以挥霍，并通过多种方式逃避检查，长达一年多时间没有归还，也无力偿还，其行为主观上具有非法占有目的，应认定为贪污罪，经与监察机关沟通并经相关程序，我院以贪污罪提起公诉，县法院以贪污罪判处被告人有期徒刑11年，并处罚金80万元。今年雅安市被省检察院评为优质案件的4件职务犯罪案件中，我院就有2件。</w:t>
      </w:r>
      <w:bookmarkStart w:id="20" w:name="_Toc15377200"/>
      <w:bookmarkStart w:id="21" w:name="_Toc15396601"/>
    </w:p>
    <w:p>
      <w:pPr>
        <w:pStyle w:val="5"/>
        <w:adjustRightInd w:val="0"/>
        <w:snapToGrid w:val="0"/>
        <w:spacing w:before="93" w:line="600" w:lineRule="exact"/>
        <w:ind w:firstLine="632" w:firstLineChars="210"/>
        <w:outlineLvl w:val="2"/>
        <w:rPr>
          <w:rStyle w:val="25"/>
          <w:rFonts w:ascii="仿宋_GB2312" w:hAnsi="仿宋" w:eastAsia="仿宋_GB2312" w:cs="Times New Roman"/>
          <w:b w:val="0"/>
          <w:color w:val="000000"/>
          <w:kern w:val="0"/>
        </w:rPr>
      </w:pPr>
      <w:r>
        <w:rPr>
          <w:rFonts w:hint="eastAsia" w:ascii="黑体" w:eastAsia="黑体"/>
          <w:b/>
          <w:color w:val="000000"/>
        </w:rPr>
        <w:t>二、</w:t>
      </w:r>
      <w:r>
        <w:rPr>
          <w:rFonts w:hint="eastAsia" w:ascii="黑体" w:hAnsi="黑体" w:eastAsia="黑体"/>
          <w:b/>
          <w:color w:val="000000"/>
        </w:rPr>
        <w:t>机</w:t>
      </w:r>
      <w:r>
        <w:rPr>
          <w:rStyle w:val="25"/>
          <w:rFonts w:hint="eastAsia" w:ascii="黑体" w:hAnsi="黑体" w:eastAsia="黑体"/>
        </w:rPr>
        <w:t>构设置</w:t>
      </w:r>
      <w:bookmarkEnd w:id="20"/>
      <w:bookmarkEnd w:id="21"/>
    </w:p>
    <w:p>
      <w:pPr>
        <w:ind w:firstLine="800" w:firstLineChars="250"/>
        <w:rPr>
          <w:rFonts w:ascii="仿宋_GB2312" w:hAnsi="仿宋" w:eastAsia="仿宋_GB2312"/>
          <w:color w:val="000000"/>
          <w:sz w:val="32"/>
          <w:szCs w:val="32"/>
        </w:rPr>
      </w:pPr>
      <w:r>
        <w:rPr>
          <w:rFonts w:hint="eastAsia" w:ascii="仿宋_GB2312" w:hAnsi="仿宋" w:eastAsia="仿宋_GB2312"/>
          <w:sz w:val="32"/>
          <w:szCs w:val="32"/>
        </w:rPr>
        <w:t>石棉县人民检察院下属二级单位0个。</w:t>
      </w:r>
    </w:p>
    <w:p>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pPr>
        <w:pStyle w:val="2"/>
        <w:ind w:right="880"/>
        <w:jc w:val="center"/>
        <w:rPr>
          <w:rStyle w:val="24"/>
          <w:rFonts w:ascii="黑体" w:hAnsi="黑体" w:eastAsia="黑体"/>
          <w:b w:val="0"/>
          <w:bCs w:val="0"/>
        </w:rPr>
      </w:pPr>
      <w:bookmarkStart w:id="22" w:name="_Toc15377204"/>
      <w:bookmarkStart w:id="23" w:name="_Toc15396602"/>
      <w:r>
        <w:rPr>
          <w:rFonts w:hint="eastAsia" w:ascii="黑体" w:hAnsi="黑体" w:eastAsia="黑体"/>
          <w:b w:val="0"/>
          <w:color w:val="000000"/>
        </w:rPr>
        <w:t>第二部分</w:t>
      </w:r>
      <w:r>
        <w:rPr>
          <w:rStyle w:val="24"/>
          <w:rFonts w:hint="eastAsia" w:ascii="黑体" w:hAnsi="黑体" w:eastAsia="黑体"/>
          <w:b w:val="0"/>
          <w:bCs w:val="0"/>
        </w:rPr>
        <w:t>2019年度部门决算情况说明</w:t>
      </w:r>
      <w:bookmarkEnd w:id="22"/>
      <w:bookmarkEnd w:id="23"/>
    </w:p>
    <w:p/>
    <w:p>
      <w:pPr>
        <w:pStyle w:val="23"/>
        <w:numPr>
          <w:ilvl w:val="0"/>
          <w:numId w:val="1"/>
        </w:numPr>
        <w:spacing w:line="600" w:lineRule="exact"/>
        <w:ind w:firstLineChars="0"/>
        <w:outlineLvl w:val="1"/>
        <w:rPr>
          <w:rStyle w:val="25"/>
          <w:rFonts w:ascii="黑体" w:hAnsi="黑体" w:eastAsia="黑体"/>
          <w:b w:val="0"/>
        </w:rPr>
      </w:pPr>
      <w:bookmarkStart w:id="24" w:name="_Toc15396603"/>
      <w:bookmarkStart w:id="25" w:name="_Toc15377205"/>
      <w:r>
        <w:rPr>
          <w:rFonts w:hint="eastAsia" w:ascii="黑体" w:hAnsi="黑体" w:eastAsia="黑体"/>
          <w:color w:val="000000"/>
          <w:sz w:val="32"/>
          <w:szCs w:val="32"/>
        </w:rPr>
        <w:t>收</w:t>
      </w:r>
      <w:r>
        <w:rPr>
          <w:rStyle w:val="25"/>
          <w:rFonts w:hint="eastAsia" w:ascii="黑体" w:hAnsi="黑体" w:eastAsia="黑体"/>
          <w:b w:val="0"/>
        </w:rPr>
        <w:t>入支出决算总体情况说明</w:t>
      </w:r>
      <w:bookmarkEnd w:id="24"/>
      <w:bookmarkEnd w:id="25"/>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2019年度收、支总计1112.29万元。与2018年相比，收、支总计各增加111.49万元，增长11.14</w:t>
      </w:r>
      <w:r>
        <w:rPr>
          <w:rFonts w:ascii="仿宋" w:hAnsi="仿宋" w:eastAsia="仿宋"/>
          <w:color w:val="000000"/>
          <w:sz w:val="32"/>
          <w:szCs w:val="32"/>
        </w:rPr>
        <w:t>%</w:t>
      </w:r>
      <w:r>
        <w:rPr>
          <w:rFonts w:hint="eastAsia" w:ascii="仿宋" w:hAnsi="仿宋" w:eastAsia="仿宋"/>
          <w:color w:val="000000"/>
          <w:sz w:val="32"/>
          <w:szCs w:val="32"/>
        </w:rPr>
        <w:t>。主要变动原因是人员工资增长。</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w:t>
      </w:r>
      <w:r>
        <w:rPr>
          <w:rFonts w:ascii="仿宋" w:hAnsi="仿宋" w:eastAsia="仿宋"/>
          <w:color w:val="000000" w:themeColor="text1"/>
          <w:sz w:val="32"/>
          <w:szCs w:val="32"/>
        </w:rPr>
        <w:t>1</w:t>
      </w:r>
      <w:r>
        <w:rPr>
          <w:rFonts w:hint="eastAsia" w:ascii="仿宋" w:hAnsi="仿宋" w:eastAsia="仿宋"/>
          <w:color w:val="000000" w:themeColor="text1"/>
          <w:sz w:val="32"/>
          <w:szCs w:val="32"/>
        </w:rPr>
        <w:t>：收、支决算总计变动情况图）</w:t>
      </w:r>
    </w:p>
    <w:p>
      <w:pPr>
        <w:spacing w:line="600" w:lineRule="exact"/>
        <w:ind w:firstLine="640" w:firstLineChars="200"/>
        <w:rPr>
          <w:rFonts w:ascii="仿宋" w:hAnsi="仿宋" w:eastAsia="仿宋"/>
          <w:color w:val="000000" w:themeColor="text1"/>
          <w:sz w:val="32"/>
          <w:szCs w:val="32"/>
        </w:rPr>
      </w:pPr>
      <w:r>
        <w:rPr>
          <w:rFonts w:hint="eastAsia" w:ascii="仿宋_GB2312" w:eastAsia="仿宋_GB2312"/>
          <w:color w:val="C00000"/>
          <w:sz w:val="32"/>
          <w:szCs w:val="32"/>
        </w:rPr>
        <w:drawing>
          <wp:anchor distT="0" distB="0" distL="114300" distR="114300" simplePos="0" relativeHeight="251658240" behindDoc="0" locked="0" layoutInCell="1" allowOverlap="1">
            <wp:simplePos x="0" y="0"/>
            <wp:positionH relativeFrom="column">
              <wp:posOffset>409575</wp:posOffset>
            </wp:positionH>
            <wp:positionV relativeFrom="paragraph">
              <wp:posOffset>267970</wp:posOffset>
            </wp:positionV>
            <wp:extent cx="4705350" cy="2914650"/>
            <wp:effectExtent l="0" t="0" r="19050" b="1905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pStyle w:val="23"/>
        <w:numPr>
          <w:ilvl w:val="0"/>
          <w:numId w:val="1"/>
        </w:numPr>
        <w:spacing w:line="600" w:lineRule="exact"/>
        <w:ind w:firstLineChars="0"/>
        <w:outlineLvl w:val="1"/>
        <w:rPr>
          <w:rStyle w:val="25"/>
          <w:rFonts w:ascii="黑体" w:hAnsi="黑体" w:eastAsia="黑体"/>
          <w:b w:val="0"/>
        </w:rPr>
      </w:pPr>
      <w:bookmarkStart w:id="26" w:name="_Toc15377206"/>
      <w:bookmarkStart w:id="27" w:name="_Toc15396604"/>
      <w:r>
        <w:rPr>
          <w:rFonts w:hint="eastAsia" w:ascii="黑体" w:hAnsi="黑体" w:eastAsia="黑体"/>
          <w:color w:val="000000"/>
          <w:sz w:val="32"/>
          <w:szCs w:val="32"/>
        </w:rPr>
        <w:t>收</w:t>
      </w:r>
      <w:r>
        <w:rPr>
          <w:rStyle w:val="25"/>
          <w:rFonts w:hint="eastAsia" w:ascii="黑体" w:hAnsi="黑体" w:eastAsia="黑体"/>
          <w:b w:val="0"/>
        </w:rPr>
        <w:t>入决算情况说明</w:t>
      </w:r>
      <w:bookmarkEnd w:id="26"/>
      <w:bookmarkEnd w:id="27"/>
    </w:p>
    <w:p>
      <w:pPr>
        <w:spacing w:line="600" w:lineRule="exact"/>
        <w:ind w:firstLine="640" w:firstLineChars="200"/>
        <w:outlineLvl w:val="1"/>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9年本年收入合计938.7万元，其中：一般公共预算财政拨款收入938.7万元，占100</w:t>
      </w:r>
      <w:r>
        <w:rPr>
          <w:rFonts w:ascii="仿宋" w:hAnsi="仿宋" w:eastAsia="仿宋"/>
          <w:color w:val="000000"/>
          <w:sz w:val="32"/>
          <w:szCs w:val="32"/>
        </w:rPr>
        <w:t>%</w:t>
      </w:r>
      <w:r>
        <w:rPr>
          <w:rFonts w:hint="eastAsia" w:ascii="仿宋" w:hAnsi="仿宋" w:eastAsia="仿宋"/>
          <w:color w:val="000000"/>
          <w:sz w:val="32"/>
          <w:szCs w:val="32"/>
        </w:rPr>
        <w:t>；政府性基金预算财政拨款收入0万元，占0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themeColor="text1"/>
          <w:sz w:val="32"/>
          <w:szCs w:val="32"/>
        </w:rPr>
        <w:t>上级补助收入0</w:t>
      </w:r>
      <w:r>
        <w:rPr>
          <w:rFonts w:hint="eastAsia" w:ascii="仿宋" w:hAnsi="仿宋" w:eastAsia="仿宋"/>
          <w:color w:val="000000"/>
          <w:sz w:val="32"/>
          <w:szCs w:val="32"/>
        </w:rPr>
        <w:t>万元，占0</w:t>
      </w:r>
      <w:r>
        <w:rPr>
          <w:rFonts w:ascii="仿宋" w:hAnsi="仿宋" w:eastAsia="仿宋"/>
          <w:color w:val="000000"/>
          <w:sz w:val="32"/>
          <w:szCs w:val="32"/>
        </w:rPr>
        <w:t>%</w:t>
      </w:r>
      <w:r>
        <w:rPr>
          <w:rFonts w:hint="eastAsia" w:ascii="仿宋" w:hAnsi="仿宋" w:eastAsia="仿宋"/>
          <w:color w:val="000000"/>
          <w:sz w:val="32"/>
          <w:szCs w:val="32"/>
        </w:rPr>
        <w:t>；事业收入0万元，占0</w:t>
      </w:r>
      <w:r>
        <w:rPr>
          <w:rFonts w:ascii="仿宋" w:hAnsi="仿宋" w:eastAsia="仿宋"/>
          <w:color w:val="000000"/>
          <w:sz w:val="32"/>
          <w:szCs w:val="32"/>
        </w:rPr>
        <w:t>%</w:t>
      </w:r>
      <w:r>
        <w:rPr>
          <w:rFonts w:hint="eastAsia" w:ascii="仿宋" w:hAnsi="仿宋" w:eastAsia="仿宋"/>
          <w:color w:val="000000"/>
          <w:sz w:val="32"/>
          <w:szCs w:val="32"/>
        </w:rPr>
        <w:t>；经营收入0万元，占0</w:t>
      </w:r>
      <w:r>
        <w:rPr>
          <w:rFonts w:ascii="仿宋" w:hAnsi="仿宋" w:eastAsia="仿宋"/>
          <w:color w:val="000000"/>
          <w:sz w:val="32"/>
          <w:szCs w:val="32"/>
        </w:rPr>
        <w:t>%</w:t>
      </w:r>
      <w:r>
        <w:rPr>
          <w:rFonts w:hint="eastAsia" w:ascii="仿宋" w:hAnsi="仿宋" w:eastAsia="仿宋"/>
          <w:color w:val="000000"/>
          <w:sz w:val="32"/>
          <w:szCs w:val="32"/>
        </w:rPr>
        <w:t>；附属单位上缴收入0万元，占0</w:t>
      </w:r>
      <w:r>
        <w:rPr>
          <w:rFonts w:ascii="仿宋" w:hAnsi="仿宋" w:eastAsia="仿宋"/>
          <w:color w:val="000000"/>
          <w:sz w:val="32"/>
          <w:szCs w:val="32"/>
        </w:rPr>
        <w:t>%</w:t>
      </w:r>
      <w:r>
        <w:rPr>
          <w:rFonts w:hint="eastAsia" w:ascii="仿宋" w:hAnsi="仿宋" w:eastAsia="仿宋"/>
          <w:color w:val="000000"/>
          <w:sz w:val="32"/>
          <w:szCs w:val="32"/>
        </w:rPr>
        <w:t>；其他收入0万元，占0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rPr>
          <w:rFonts w:ascii="仿宋" w:hAnsi="仿宋" w:eastAsia="仿宋"/>
          <w:color w:val="000000" w:themeColor="text1"/>
          <w:sz w:val="32"/>
          <w:szCs w:val="32"/>
        </w:rPr>
      </w:pPr>
      <w:r>
        <w:rPr>
          <w:rFonts w:ascii="仿宋_GB2312" w:eastAsia="仿宋_GB2312"/>
          <w:color w:val="FF0000"/>
          <w:sz w:val="32"/>
          <w:szCs w:val="32"/>
        </w:rPr>
        <w:drawing>
          <wp:anchor distT="0" distB="0" distL="114300" distR="114300" simplePos="0" relativeHeight="251659264" behindDoc="0" locked="0" layoutInCell="1" allowOverlap="1">
            <wp:simplePos x="0" y="0"/>
            <wp:positionH relativeFrom="column">
              <wp:posOffset>409575</wp:posOffset>
            </wp:positionH>
            <wp:positionV relativeFrom="paragraph">
              <wp:posOffset>-580390</wp:posOffset>
            </wp:positionV>
            <wp:extent cx="5153025" cy="3028950"/>
            <wp:effectExtent l="0" t="0" r="9525" b="1905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000000" w:themeColor="text1"/>
          <w:sz w:val="32"/>
          <w:szCs w:val="32"/>
        </w:rPr>
        <w:t>（图2：收入决算结构图）（饼状图）</w:t>
      </w:r>
    </w:p>
    <w:p>
      <w:pPr>
        <w:spacing w:line="600" w:lineRule="exact"/>
        <w:ind w:firstLine="640" w:firstLineChars="200"/>
        <w:rPr>
          <w:rFonts w:ascii="仿宋_GB2312" w:eastAsia="仿宋_GB2312"/>
          <w:color w:val="FF0000"/>
          <w:sz w:val="32"/>
          <w:szCs w:val="32"/>
        </w:rPr>
      </w:pPr>
    </w:p>
    <w:p>
      <w:pPr>
        <w:spacing w:line="600" w:lineRule="exact"/>
        <w:ind w:left="640"/>
        <w:outlineLvl w:val="1"/>
        <w:rPr>
          <w:rFonts w:ascii="黑体" w:hAnsi="黑体" w:eastAsia="黑体" w:cstheme="majorBidi"/>
          <w:bCs/>
          <w:sz w:val="32"/>
          <w:szCs w:val="32"/>
        </w:rPr>
      </w:pPr>
      <w:bookmarkStart w:id="28" w:name="_Toc15377207"/>
      <w:bookmarkStart w:id="29" w:name="_Toc15396605"/>
    </w:p>
    <w:p>
      <w:pPr>
        <w:spacing w:line="600" w:lineRule="exact"/>
        <w:ind w:left="640"/>
        <w:outlineLvl w:val="1"/>
        <w:rPr>
          <w:rFonts w:ascii="黑体" w:hAnsi="黑体" w:eastAsia="黑体" w:cstheme="majorBidi"/>
          <w:bCs/>
          <w:sz w:val="32"/>
          <w:szCs w:val="32"/>
        </w:rPr>
      </w:pPr>
    </w:p>
    <w:p>
      <w:pPr>
        <w:spacing w:line="600" w:lineRule="exact"/>
        <w:ind w:left="640"/>
        <w:outlineLvl w:val="1"/>
        <w:rPr>
          <w:rFonts w:ascii="黑体" w:hAnsi="黑体" w:eastAsia="黑体" w:cstheme="majorBidi"/>
          <w:bCs/>
          <w:sz w:val="32"/>
          <w:szCs w:val="32"/>
        </w:rPr>
      </w:pPr>
    </w:p>
    <w:p>
      <w:pPr>
        <w:spacing w:line="600" w:lineRule="exact"/>
        <w:ind w:left="640"/>
        <w:outlineLvl w:val="1"/>
        <w:rPr>
          <w:rFonts w:ascii="黑体" w:hAnsi="黑体" w:eastAsia="黑体" w:cstheme="majorBidi"/>
          <w:bCs/>
          <w:sz w:val="32"/>
          <w:szCs w:val="32"/>
        </w:rPr>
      </w:pPr>
    </w:p>
    <w:p>
      <w:pPr>
        <w:spacing w:line="600" w:lineRule="exact"/>
        <w:ind w:left="640"/>
        <w:outlineLvl w:val="1"/>
        <w:rPr>
          <w:rFonts w:ascii="黑体" w:hAnsi="黑体" w:eastAsia="黑体" w:cstheme="majorBidi"/>
          <w:bCs/>
          <w:sz w:val="32"/>
          <w:szCs w:val="32"/>
        </w:rPr>
      </w:pPr>
    </w:p>
    <w:p>
      <w:pPr>
        <w:pStyle w:val="23"/>
        <w:numPr>
          <w:ilvl w:val="0"/>
          <w:numId w:val="1"/>
        </w:numPr>
        <w:spacing w:line="600" w:lineRule="exact"/>
        <w:ind w:firstLineChars="0"/>
        <w:outlineLvl w:val="1"/>
        <w:rPr>
          <w:rStyle w:val="25"/>
          <w:rFonts w:ascii="黑体" w:hAnsi="黑体" w:eastAsia="黑体"/>
          <w:b w:val="0"/>
        </w:rPr>
      </w:pPr>
      <w:r>
        <w:rPr>
          <w:rFonts w:hint="eastAsia" w:ascii="黑体" w:hAnsi="黑体" w:eastAsia="黑体"/>
          <w:color w:val="000000"/>
          <w:sz w:val="32"/>
          <w:szCs w:val="32"/>
        </w:rPr>
        <w:t>支</w:t>
      </w:r>
      <w:r>
        <w:rPr>
          <w:rStyle w:val="25"/>
          <w:rFonts w:hint="eastAsia" w:ascii="黑体" w:hAnsi="黑体" w:eastAsia="黑体"/>
          <w:b w:val="0"/>
        </w:rPr>
        <w:t>出决算情况说明</w:t>
      </w:r>
      <w:bookmarkEnd w:id="28"/>
      <w:bookmarkEnd w:id="29"/>
    </w:p>
    <w:p>
      <w:pPr>
        <w:spacing w:line="600" w:lineRule="exact"/>
        <w:ind w:firstLine="640" w:firstLineChars="200"/>
        <w:outlineLvl w:val="1"/>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9年本年支出合计1034.09万元，其中：基本支出857.35万元，占82.91</w:t>
      </w:r>
      <w:r>
        <w:rPr>
          <w:rFonts w:ascii="仿宋" w:hAnsi="仿宋" w:eastAsia="仿宋"/>
          <w:color w:val="000000"/>
          <w:sz w:val="32"/>
          <w:szCs w:val="32"/>
        </w:rPr>
        <w:t>%</w:t>
      </w:r>
      <w:r>
        <w:rPr>
          <w:rFonts w:hint="eastAsia" w:ascii="仿宋" w:hAnsi="仿宋" w:eastAsia="仿宋"/>
          <w:color w:val="000000"/>
          <w:sz w:val="32"/>
          <w:szCs w:val="32"/>
        </w:rPr>
        <w:t>；项目支出176.74万元，占17.09</w:t>
      </w:r>
      <w:r>
        <w:rPr>
          <w:rFonts w:ascii="仿宋" w:hAnsi="仿宋" w:eastAsia="仿宋"/>
          <w:color w:val="000000"/>
          <w:sz w:val="32"/>
          <w:szCs w:val="32"/>
        </w:rPr>
        <w:t>%</w:t>
      </w:r>
      <w:r>
        <w:rPr>
          <w:rFonts w:hint="eastAsia" w:ascii="仿宋" w:hAnsi="仿宋" w:eastAsia="仿宋"/>
          <w:color w:val="000000"/>
          <w:sz w:val="32"/>
          <w:szCs w:val="32"/>
        </w:rPr>
        <w:t>；上缴上级支出0万元，占0</w:t>
      </w:r>
      <w:r>
        <w:rPr>
          <w:rFonts w:ascii="仿宋" w:hAnsi="仿宋" w:eastAsia="仿宋"/>
          <w:color w:val="000000"/>
          <w:sz w:val="32"/>
          <w:szCs w:val="32"/>
        </w:rPr>
        <w:t>%</w:t>
      </w:r>
      <w:r>
        <w:rPr>
          <w:rFonts w:hint="eastAsia" w:ascii="仿宋" w:hAnsi="仿宋" w:eastAsia="仿宋"/>
          <w:color w:val="000000"/>
          <w:sz w:val="32"/>
          <w:szCs w:val="32"/>
        </w:rPr>
        <w:t>；经营支出0万元，占0</w:t>
      </w:r>
      <w:r>
        <w:rPr>
          <w:rFonts w:ascii="仿宋" w:hAnsi="仿宋" w:eastAsia="仿宋"/>
          <w:color w:val="000000"/>
          <w:sz w:val="32"/>
          <w:szCs w:val="32"/>
        </w:rPr>
        <w:t>%</w:t>
      </w:r>
      <w:r>
        <w:rPr>
          <w:rFonts w:hint="eastAsia" w:ascii="仿宋" w:hAnsi="仿宋" w:eastAsia="仿宋"/>
          <w:color w:val="000000"/>
          <w:sz w:val="32"/>
          <w:szCs w:val="32"/>
        </w:rPr>
        <w:t>；对附属单位补助支出0万元，占0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60288" behindDoc="0" locked="0" layoutInCell="1" allowOverlap="1">
            <wp:simplePos x="0" y="0"/>
            <wp:positionH relativeFrom="column">
              <wp:posOffset>285750</wp:posOffset>
            </wp:positionH>
            <wp:positionV relativeFrom="paragraph">
              <wp:posOffset>209550</wp:posOffset>
            </wp:positionV>
            <wp:extent cx="5172075" cy="3009900"/>
            <wp:effectExtent l="0" t="0" r="9525" b="1905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Fonts w:ascii="黑体" w:hAnsi="黑体" w:eastAsia="黑体"/>
          <w:color w:val="000000"/>
          <w:sz w:val="32"/>
          <w:szCs w:val="32"/>
        </w:rPr>
      </w:pPr>
      <w:bookmarkStart w:id="30" w:name="_Toc15396606"/>
      <w:bookmarkStart w:id="31" w:name="_Toc15377208"/>
    </w:p>
    <w:p>
      <w:pPr>
        <w:spacing w:line="600" w:lineRule="exact"/>
        <w:ind w:firstLine="640" w:firstLineChars="200"/>
        <w:outlineLvl w:val="1"/>
        <w:rPr>
          <w:rFonts w:ascii="黑体" w:hAnsi="黑体" w:eastAsia="黑体"/>
          <w:color w:val="000000"/>
          <w:sz w:val="32"/>
          <w:szCs w:val="32"/>
        </w:rPr>
      </w:pPr>
    </w:p>
    <w:p>
      <w:pPr>
        <w:spacing w:line="600" w:lineRule="exact"/>
        <w:ind w:firstLine="640" w:firstLineChars="200"/>
        <w:outlineLvl w:val="1"/>
        <w:rPr>
          <w:rFonts w:ascii="黑体" w:hAnsi="黑体" w:eastAsia="黑体"/>
          <w:color w:val="000000"/>
          <w:sz w:val="32"/>
          <w:szCs w:val="32"/>
        </w:rPr>
      </w:pPr>
    </w:p>
    <w:p>
      <w:pPr>
        <w:spacing w:line="600" w:lineRule="exact"/>
        <w:outlineLvl w:val="1"/>
        <w:rPr>
          <w:rFonts w:ascii="黑体" w:hAnsi="黑体" w:eastAsia="黑体"/>
          <w:color w:val="000000"/>
          <w:sz w:val="32"/>
          <w:szCs w:val="32"/>
        </w:rPr>
      </w:pPr>
    </w:p>
    <w:p>
      <w:pPr>
        <w:spacing w:line="600" w:lineRule="exact"/>
        <w:ind w:firstLine="640" w:firstLineChars="200"/>
        <w:outlineLvl w:val="1"/>
        <w:rPr>
          <w:rStyle w:val="25"/>
          <w:rFonts w:ascii="黑体" w:hAnsi="黑体" w:eastAsia="黑体"/>
          <w:b w:val="0"/>
        </w:rPr>
      </w:pPr>
      <w:r>
        <w:rPr>
          <w:rFonts w:hint="eastAsia" w:ascii="黑体" w:hAnsi="黑体" w:eastAsia="黑体"/>
          <w:color w:val="000000"/>
          <w:sz w:val="32"/>
          <w:szCs w:val="32"/>
        </w:rPr>
        <w:t>四、财</w:t>
      </w:r>
      <w:r>
        <w:rPr>
          <w:rStyle w:val="25"/>
          <w:rFonts w:hint="eastAsia" w:ascii="黑体" w:hAnsi="黑体" w:eastAsia="黑体"/>
          <w:b w:val="0"/>
        </w:rPr>
        <w:t>政拨款收入支出决算总体情况说明</w:t>
      </w:r>
      <w:bookmarkEnd w:id="30"/>
      <w:bookmarkEnd w:id="31"/>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9年财政拨款收、支总计1112.29万元。与</w:t>
      </w:r>
      <w:r>
        <w:rPr>
          <w:rFonts w:ascii="仿宋" w:hAnsi="仿宋" w:eastAsia="仿宋"/>
          <w:color w:val="000000"/>
          <w:sz w:val="32"/>
          <w:szCs w:val="32"/>
        </w:rPr>
        <w:t>201</w:t>
      </w:r>
      <w:r>
        <w:rPr>
          <w:rFonts w:hint="eastAsia" w:ascii="仿宋" w:hAnsi="仿宋" w:eastAsia="仿宋"/>
          <w:color w:val="000000"/>
          <w:sz w:val="32"/>
          <w:szCs w:val="32"/>
        </w:rPr>
        <w:t>8年相比，财政拨款收、支总计各增加111.49万元，增长11.14</w:t>
      </w:r>
      <w:r>
        <w:rPr>
          <w:rFonts w:ascii="仿宋" w:hAnsi="仿宋" w:eastAsia="仿宋"/>
          <w:color w:val="000000"/>
          <w:sz w:val="32"/>
          <w:szCs w:val="32"/>
        </w:rPr>
        <w:t>%</w:t>
      </w:r>
      <w:r>
        <w:rPr>
          <w:rFonts w:hint="eastAsia" w:ascii="仿宋" w:hAnsi="仿宋" w:eastAsia="仿宋"/>
          <w:color w:val="000000"/>
          <w:sz w:val="32"/>
          <w:szCs w:val="32"/>
        </w:rPr>
        <w:t>。主要变动原因是人员工资增长。</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（图4：财政拨款收、支决算总计变动情况）</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61312" behindDoc="0" locked="0" layoutInCell="1" allowOverlap="1">
            <wp:simplePos x="0" y="0"/>
            <wp:positionH relativeFrom="column">
              <wp:posOffset>409575</wp:posOffset>
            </wp:positionH>
            <wp:positionV relativeFrom="paragraph">
              <wp:posOffset>180975</wp:posOffset>
            </wp:positionV>
            <wp:extent cx="4314825" cy="2105025"/>
            <wp:effectExtent l="0" t="0" r="9525" b="952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25"/>
          <w:rFonts w:ascii="黑体" w:hAnsi="黑体" w:eastAsia="黑体"/>
          <w:b w:val="0"/>
        </w:rPr>
      </w:pPr>
      <w:bookmarkStart w:id="32" w:name="_Toc15396607"/>
      <w:bookmarkStart w:id="33"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5"/>
          <w:rFonts w:hint="eastAsia" w:ascii="黑体" w:hAnsi="黑体" w:eastAsia="黑体"/>
          <w:b w:val="0"/>
        </w:rPr>
        <w:t>般公共预算财政拨款支出决算情况说明</w:t>
      </w:r>
      <w:bookmarkEnd w:id="32"/>
      <w:bookmarkEnd w:id="33"/>
    </w:p>
    <w:p>
      <w:pPr>
        <w:spacing w:line="600" w:lineRule="exact"/>
        <w:outlineLvl w:val="2"/>
        <w:rPr>
          <w:rFonts w:ascii="仿宋" w:hAnsi="仿宋" w:eastAsia="仿宋"/>
          <w:b/>
          <w:color w:val="000000"/>
          <w:sz w:val="32"/>
          <w:szCs w:val="32"/>
        </w:rPr>
      </w:pPr>
      <w:bookmarkStart w:id="34" w:name="_Toc15377210"/>
    </w:p>
    <w:p>
      <w:pPr>
        <w:spacing w:line="600" w:lineRule="exact"/>
        <w:ind w:firstLine="640" w:firstLineChars="200"/>
        <w:outlineLvl w:val="2"/>
        <w:rPr>
          <w:rFonts w:ascii="黑体" w:hAnsi="仿宋" w:eastAsia="黑体"/>
          <w:color w:val="000000"/>
          <w:sz w:val="32"/>
          <w:szCs w:val="32"/>
        </w:rPr>
      </w:pPr>
      <w:r>
        <w:rPr>
          <w:rFonts w:hint="eastAsia" w:ascii="黑体" w:hAnsi="仿宋" w:eastAsia="黑体"/>
          <w:color w:val="000000"/>
          <w:sz w:val="32"/>
          <w:szCs w:val="32"/>
        </w:rPr>
        <w:t>五、一般公共预算财政拨款支出决算情况说明</w:t>
      </w:r>
    </w:p>
    <w:p>
      <w:pPr>
        <w:spacing w:line="600" w:lineRule="exact"/>
        <w:ind w:firstLine="643" w:firstLineChars="200"/>
        <w:outlineLvl w:val="2"/>
        <w:rPr>
          <w:rFonts w:ascii="仿宋" w:hAnsi="仿宋" w:eastAsia="仿宋"/>
          <w:b/>
          <w:color w:val="000000"/>
          <w:sz w:val="32"/>
          <w:szCs w:val="32"/>
        </w:rPr>
      </w:pPr>
      <w:r>
        <w:rPr>
          <w:rFonts w:hint="eastAsia" w:ascii="仿宋" w:hAnsi="仿宋" w:eastAsia="仿宋"/>
          <w:b/>
          <w:color w:val="000000"/>
          <w:sz w:val="32"/>
          <w:szCs w:val="32"/>
        </w:rPr>
        <w:t>（一）一般公共预算财政拨款支出决算总体情况</w:t>
      </w:r>
      <w:bookmarkEnd w:id="34"/>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9年一般公共预算财政拨款支出1034.08万元，占本年支出合计的100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8年相比，一般公共预算财政拨款增加206.88万元，增长25.01</w:t>
      </w:r>
      <w:r>
        <w:rPr>
          <w:rFonts w:ascii="仿宋" w:hAnsi="仿宋" w:eastAsia="仿宋"/>
          <w:color w:val="000000"/>
          <w:sz w:val="32"/>
          <w:szCs w:val="32"/>
        </w:rPr>
        <w:t>%</w:t>
      </w:r>
      <w:r>
        <w:rPr>
          <w:rFonts w:hint="eastAsia" w:ascii="仿宋" w:hAnsi="仿宋" w:eastAsia="仿宋"/>
          <w:color w:val="000000"/>
          <w:sz w:val="32"/>
          <w:szCs w:val="32"/>
        </w:rPr>
        <w:t>。主要变动原因是人员工资福利的调整。</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（图5：一般公共预算财政拨款支出决算变动情况）（柱状图）</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62336" behindDoc="0" locked="0" layoutInCell="1" allowOverlap="1">
            <wp:simplePos x="0" y="0"/>
            <wp:positionH relativeFrom="column">
              <wp:posOffset>447675</wp:posOffset>
            </wp:positionH>
            <wp:positionV relativeFrom="paragraph">
              <wp:posOffset>66675</wp:posOffset>
            </wp:positionV>
            <wp:extent cx="4743450" cy="1895475"/>
            <wp:effectExtent l="4445" t="4445" r="14605" b="508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3" w:firstLineChars="200"/>
        <w:outlineLvl w:val="2"/>
        <w:rPr>
          <w:rFonts w:ascii="仿宋" w:hAnsi="仿宋" w:eastAsia="仿宋"/>
          <w:b/>
          <w:color w:val="000000"/>
          <w:sz w:val="32"/>
          <w:szCs w:val="32"/>
        </w:rPr>
      </w:pPr>
      <w:bookmarkStart w:id="35" w:name="_Toc15377211"/>
    </w:p>
    <w:p>
      <w:pPr>
        <w:spacing w:line="600" w:lineRule="exact"/>
        <w:ind w:firstLine="643" w:firstLineChars="200"/>
        <w:outlineLvl w:val="2"/>
        <w:rPr>
          <w:rFonts w:ascii="仿宋" w:hAnsi="仿宋" w:eastAsia="仿宋"/>
          <w:b/>
          <w:color w:val="000000"/>
          <w:sz w:val="32"/>
          <w:szCs w:val="32"/>
        </w:rPr>
      </w:pPr>
      <w:r>
        <w:rPr>
          <w:rFonts w:hint="eastAsia" w:ascii="仿宋" w:hAnsi="仿宋" w:eastAsia="仿宋"/>
          <w:b/>
          <w:color w:val="000000"/>
          <w:sz w:val="32"/>
          <w:szCs w:val="32"/>
        </w:rPr>
        <w:t>（二）一般公共预算财政拨款支出决算结构情况</w:t>
      </w:r>
      <w:bookmarkEnd w:id="35"/>
    </w:p>
    <w:p>
      <w:pPr>
        <w:spacing w:line="600" w:lineRule="exact"/>
        <w:ind w:firstLine="640"/>
        <w:rPr>
          <w:rFonts w:ascii="仿宋" w:hAnsi="仿宋" w:eastAsia="仿宋"/>
          <w:b/>
          <w:color w:val="000000" w:themeColor="text1"/>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w:t>
      </w:r>
      <w:r>
        <w:rPr>
          <w:rFonts w:hint="eastAsia" w:ascii="仿宋" w:hAnsi="仿宋" w:eastAsia="仿宋"/>
          <w:color w:val="000000" w:themeColor="text1"/>
          <w:sz w:val="32"/>
          <w:szCs w:val="32"/>
        </w:rPr>
        <w:t>政拨款支出1034.09万元，主要用于以下方面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一般公共服务（类）</w:t>
      </w:r>
      <w:r>
        <w:rPr>
          <w:rFonts w:hint="eastAsia" w:ascii="仿宋" w:hAnsi="仿宋" w:eastAsia="仿宋"/>
          <w:color w:val="000000" w:themeColor="text1"/>
          <w:sz w:val="32"/>
          <w:szCs w:val="32"/>
        </w:rPr>
        <w:t>支出145.41万元，占14.06</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公共安全支出</w:t>
      </w:r>
      <w:r>
        <w:rPr>
          <w:rFonts w:hint="eastAsia" w:ascii="仿宋" w:hAnsi="仿宋" w:eastAsia="仿宋"/>
          <w:color w:val="000000" w:themeColor="text1"/>
          <w:sz w:val="32"/>
          <w:szCs w:val="32"/>
        </w:rPr>
        <w:t>731.84万元，占70.77%；</w:t>
      </w:r>
      <w:r>
        <w:rPr>
          <w:rFonts w:hint="eastAsia" w:ascii="仿宋" w:hAnsi="仿宋" w:eastAsia="仿宋"/>
          <w:b/>
          <w:color w:val="000000" w:themeColor="text1"/>
          <w:sz w:val="32"/>
          <w:szCs w:val="32"/>
        </w:rPr>
        <w:t>教育支出（类）</w:t>
      </w:r>
      <w:r>
        <w:rPr>
          <w:rFonts w:hint="eastAsia" w:ascii="仿宋" w:hAnsi="仿宋" w:eastAsia="仿宋"/>
          <w:color w:val="000000" w:themeColor="text1"/>
          <w:sz w:val="32"/>
          <w:szCs w:val="32"/>
        </w:rPr>
        <w:t>0万元，占0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科学技术（类）</w:t>
      </w:r>
      <w:r>
        <w:rPr>
          <w:rFonts w:hint="eastAsia" w:ascii="仿宋" w:hAnsi="仿宋" w:eastAsia="仿宋"/>
          <w:color w:val="000000" w:themeColor="text1"/>
          <w:sz w:val="32"/>
          <w:szCs w:val="32"/>
        </w:rPr>
        <w:t>支出0万元，占0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文化旅游体育与传媒（类）支出0万元，占0</w:t>
      </w:r>
      <w:r>
        <w:rPr>
          <w:rFonts w:ascii="仿宋" w:hAnsi="仿宋" w:eastAsia="仿宋"/>
          <w:b/>
          <w:bCs/>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支出68.06万元，占6.58</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卫生健康支出</w:t>
      </w:r>
      <w:r>
        <w:rPr>
          <w:rFonts w:hint="eastAsia" w:ascii="仿宋" w:hAnsi="仿宋" w:eastAsia="仿宋"/>
          <w:color w:val="000000" w:themeColor="text1"/>
          <w:sz w:val="32"/>
          <w:szCs w:val="32"/>
        </w:rPr>
        <w:t>29.32万元，占2.84</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住房保障支出</w:t>
      </w:r>
      <w:r>
        <w:rPr>
          <w:rFonts w:hint="eastAsia" w:ascii="仿宋" w:hAnsi="仿宋" w:eastAsia="仿宋"/>
          <w:color w:val="000000" w:themeColor="text1"/>
          <w:sz w:val="32"/>
          <w:szCs w:val="32"/>
        </w:rPr>
        <w:t>59.46万元，占5.75</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3360" behindDoc="0" locked="0" layoutInCell="1" allowOverlap="1">
            <wp:simplePos x="0" y="0"/>
            <wp:positionH relativeFrom="column">
              <wp:posOffset>276225</wp:posOffset>
            </wp:positionH>
            <wp:positionV relativeFrom="paragraph">
              <wp:posOffset>95250</wp:posOffset>
            </wp:positionV>
            <wp:extent cx="4895850" cy="2324100"/>
            <wp:effectExtent l="0" t="0" r="19050" b="1905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6" w:name="_Toc15377212"/>
    </w:p>
    <w:p>
      <w:pPr>
        <w:spacing w:line="600" w:lineRule="exact"/>
        <w:ind w:firstLine="643" w:firstLineChars="200"/>
        <w:outlineLvl w:val="2"/>
        <w:rPr>
          <w:rFonts w:ascii="仿宋" w:hAnsi="仿宋" w:eastAsia="仿宋"/>
          <w:b/>
          <w:color w:val="000000"/>
          <w:sz w:val="32"/>
          <w:szCs w:val="32"/>
        </w:rPr>
      </w:pPr>
      <w:r>
        <w:rPr>
          <w:rFonts w:hint="eastAsia" w:ascii="仿宋" w:hAnsi="仿宋" w:eastAsia="仿宋"/>
          <w:b/>
          <w:color w:val="000000"/>
          <w:sz w:val="32"/>
          <w:szCs w:val="32"/>
        </w:rPr>
        <w:t>（三）一般公共预算财政拨款支出决算具体情况</w:t>
      </w:r>
      <w:bookmarkEnd w:id="36"/>
    </w:p>
    <w:p>
      <w:pPr>
        <w:spacing w:line="600" w:lineRule="exact"/>
        <w:ind w:firstLine="643" w:firstLineChars="200"/>
        <w:outlineLvl w:val="2"/>
        <w:rPr>
          <w:rFonts w:ascii="仿宋" w:hAnsi="仿宋" w:eastAsia="仿宋"/>
          <w:color w:val="FF0000"/>
          <w:sz w:val="32"/>
          <w:szCs w:val="32"/>
        </w:rPr>
      </w:pPr>
      <w:bookmarkStart w:id="37" w:name="_Toc15377444"/>
      <w:bookmarkStart w:id="38" w:name="_Toc15378460"/>
      <w:bookmarkStart w:id="39" w:name="_Toc15377213"/>
      <w:r>
        <w:rPr>
          <w:rFonts w:hint="eastAsia" w:ascii="仿宋" w:hAnsi="仿宋" w:eastAsia="仿宋"/>
          <w:b/>
          <w:color w:val="000000" w:themeColor="text1"/>
          <w:sz w:val="32"/>
          <w:szCs w:val="32"/>
        </w:rPr>
        <w:t>2019年一般公共预算支出决算数为1034.09</w:t>
      </w:r>
      <w:r>
        <w:rPr>
          <w:rFonts w:hint="eastAsia" w:ascii="仿宋" w:hAnsi="仿宋" w:eastAsia="仿宋"/>
          <w:color w:val="000000" w:themeColor="text1"/>
          <w:sz w:val="32"/>
          <w:szCs w:val="32"/>
        </w:rPr>
        <w:t>，</w:t>
      </w:r>
      <w:r>
        <w:rPr>
          <w:rStyle w:val="14"/>
          <w:rFonts w:hint="eastAsia" w:ascii="仿宋" w:hAnsi="仿宋" w:eastAsia="仿宋"/>
          <w:bCs/>
          <w:color w:val="000000" w:themeColor="text1"/>
          <w:sz w:val="32"/>
          <w:szCs w:val="32"/>
        </w:rPr>
        <w:t>完成</w:t>
      </w:r>
      <w:r>
        <w:rPr>
          <w:rStyle w:val="14"/>
          <w:rFonts w:hint="eastAsia" w:ascii="仿宋" w:hAnsi="仿宋" w:eastAsia="仿宋"/>
          <w:bCs/>
          <w:color w:val="000000"/>
          <w:sz w:val="32"/>
          <w:szCs w:val="32"/>
        </w:rPr>
        <w:t>预算100</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。其中：</w:t>
      </w:r>
      <w:bookmarkEnd w:id="37"/>
      <w:bookmarkEnd w:id="38"/>
      <w:bookmarkEnd w:id="39"/>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1.</w:t>
      </w:r>
      <w:r>
        <w:rPr>
          <w:rStyle w:val="14"/>
          <w:rFonts w:hint="eastAsia" w:ascii="仿宋" w:hAnsi="仿宋" w:eastAsia="仿宋"/>
          <w:bCs/>
          <w:color w:val="000000"/>
          <w:sz w:val="32"/>
          <w:szCs w:val="32"/>
        </w:rPr>
        <w:t>一般公共服务（类）其他一般公共服务支出（款）其他一般公共服务支出（项）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支出决算为145.41万元，完成预算100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2.</w:t>
      </w:r>
      <w:r>
        <w:rPr>
          <w:rStyle w:val="14"/>
          <w:rFonts w:hint="eastAsia" w:ascii="仿宋" w:hAnsi="仿宋" w:eastAsia="仿宋"/>
          <w:bCs/>
          <w:color w:val="000000"/>
          <w:sz w:val="32"/>
          <w:szCs w:val="32"/>
        </w:rPr>
        <w:t>公共安全支出（类）检察（款）行政运行（项）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支出决算为555.10万元，完成预算100%。</w:t>
      </w:r>
      <w:r>
        <w:rPr>
          <w:rStyle w:val="14"/>
          <w:rFonts w:hint="eastAsia" w:ascii="仿宋" w:hAnsi="仿宋" w:eastAsia="仿宋"/>
          <w:bCs/>
          <w:color w:val="000000"/>
          <w:sz w:val="32"/>
          <w:szCs w:val="32"/>
        </w:rPr>
        <w:t>公共安全支出（类）检察（款）一般行政管理事务（项）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支出决算为176.74万元，完成预算100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ascii="宋体" w:hAnsi="宋体" w:cs="Arial"/>
          <w:color w:val="000000"/>
          <w:kern w:val="0"/>
          <w:sz w:val="22"/>
          <w:szCs w:val="22"/>
        </w:rPr>
      </w:pPr>
      <w:r>
        <w:rPr>
          <w:rStyle w:val="14"/>
          <w:rFonts w:hint="eastAsia" w:ascii="仿宋" w:hAnsi="仿宋" w:eastAsia="仿宋"/>
          <w:bCs/>
          <w:color w:val="000000"/>
          <w:sz w:val="32"/>
          <w:szCs w:val="32"/>
        </w:rPr>
        <w:t>3.社会保障和就业（类）行政事业单位离退休（款）</w:t>
      </w:r>
      <w:r>
        <w:rPr>
          <w:rStyle w:val="14"/>
          <w:rFonts w:hint="eastAsia" w:ascii="仿宋" w:hAnsi="仿宋" w:eastAsia="仿宋"/>
          <w:bCs/>
          <w:sz w:val="32"/>
          <w:szCs w:val="32"/>
        </w:rPr>
        <w:t>机关事业单位基本养老保险缴费支出</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支出决算为49.22万元，完成预算100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Style w:val="14"/>
          <w:rFonts w:hint="eastAsia" w:ascii="仿宋" w:hAnsi="仿宋" w:eastAsia="仿宋"/>
          <w:bCs/>
          <w:color w:val="000000"/>
          <w:sz w:val="32"/>
          <w:szCs w:val="32"/>
        </w:rPr>
        <w:t>社会保障和就业（类）行政事业单位离退休（款）</w:t>
      </w:r>
      <w:r>
        <w:rPr>
          <w:rStyle w:val="14"/>
          <w:rFonts w:hint="eastAsia" w:ascii="仿宋" w:hAnsi="仿宋" w:eastAsia="仿宋"/>
          <w:bCs/>
          <w:sz w:val="32"/>
          <w:szCs w:val="32"/>
        </w:rPr>
        <w:t>机关事业单位职业年金缴费支出</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支出决算为3.20万元，完成预算100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Style w:val="14"/>
          <w:rFonts w:hint="eastAsia" w:ascii="仿宋" w:hAnsi="仿宋" w:eastAsia="仿宋"/>
          <w:bCs/>
          <w:color w:val="000000"/>
          <w:sz w:val="32"/>
          <w:szCs w:val="32"/>
        </w:rPr>
        <w:t>社会保障和就业（类）</w:t>
      </w:r>
      <w:r>
        <w:rPr>
          <w:rStyle w:val="14"/>
          <w:rFonts w:hint="eastAsia" w:ascii="仿宋" w:hAnsi="仿宋" w:eastAsia="仿宋"/>
          <w:bCs/>
          <w:sz w:val="32"/>
          <w:szCs w:val="32"/>
        </w:rPr>
        <w:t>抚恤</w:t>
      </w:r>
      <w:r>
        <w:rPr>
          <w:rStyle w:val="14"/>
          <w:rFonts w:hint="eastAsia" w:ascii="仿宋" w:hAnsi="仿宋" w:eastAsia="仿宋"/>
          <w:bCs/>
          <w:color w:val="000000"/>
          <w:sz w:val="32"/>
          <w:szCs w:val="32"/>
        </w:rPr>
        <w:t>（款）</w:t>
      </w:r>
      <w:r>
        <w:rPr>
          <w:rStyle w:val="14"/>
          <w:rFonts w:hint="eastAsia" w:ascii="仿宋" w:hAnsi="仿宋" w:eastAsia="仿宋"/>
          <w:bCs/>
          <w:sz w:val="32"/>
          <w:szCs w:val="32"/>
        </w:rPr>
        <w:t>死亡抚恤</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支出决算为15.63万元，完成预算100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ascii="宋体" w:hAnsi="宋体" w:cs="Arial"/>
          <w:color w:val="000000"/>
          <w:kern w:val="0"/>
          <w:sz w:val="22"/>
          <w:szCs w:val="22"/>
        </w:rPr>
      </w:pPr>
      <w:r>
        <w:rPr>
          <w:rStyle w:val="14"/>
          <w:rFonts w:hint="eastAsia" w:ascii="仿宋" w:hAnsi="仿宋" w:eastAsia="仿宋"/>
          <w:bCs/>
          <w:color w:val="000000"/>
          <w:sz w:val="32"/>
          <w:szCs w:val="32"/>
        </w:rPr>
        <w:t>4</w:t>
      </w:r>
      <w:r>
        <w:rPr>
          <w:rStyle w:val="14"/>
          <w:rFonts w:ascii="仿宋" w:hAnsi="仿宋" w:eastAsia="仿宋"/>
          <w:bCs/>
          <w:color w:val="000000"/>
          <w:sz w:val="32"/>
          <w:szCs w:val="32"/>
        </w:rPr>
        <w:t>.</w:t>
      </w:r>
      <w:r>
        <w:rPr>
          <w:rFonts w:hint="eastAsia" w:ascii="仿宋" w:hAnsi="仿宋" w:eastAsia="仿宋"/>
          <w:b/>
          <w:bCs/>
          <w:color w:val="000000" w:themeColor="text1"/>
          <w:sz w:val="32"/>
          <w:szCs w:val="32"/>
        </w:rPr>
        <w:t>卫生健康</w:t>
      </w:r>
      <w:r>
        <w:rPr>
          <w:rStyle w:val="14"/>
          <w:rFonts w:hint="eastAsia" w:ascii="仿宋" w:hAnsi="仿宋" w:eastAsia="仿宋"/>
          <w:bCs/>
          <w:color w:val="000000"/>
          <w:sz w:val="32"/>
          <w:szCs w:val="32"/>
        </w:rPr>
        <w:t>（类）</w:t>
      </w:r>
      <w:r>
        <w:rPr>
          <w:rFonts w:hint="eastAsia" w:ascii="仿宋" w:hAnsi="仿宋" w:eastAsia="仿宋"/>
          <w:b/>
          <w:bCs/>
          <w:color w:val="000000" w:themeColor="text1"/>
          <w:sz w:val="32"/>
          <w:szCs w:val="32"/>
        </w:rPr>
        <w:t>行政事业单位医疗</w:t>
      </w:r>
      <w:r>
        <w:rPr>
          <w:rStyle w:val="14"/>
          <w:rFonts w:hint="eastAsia" w:ascii="仿宋" w:hAnsi="仿宋" w:eastAsia="仿宋"/>
          <w:bCs/>
          <w:color w:val="000000"/>
          <w:sz w:val="32"/>
          <w:szCs w:val="32"/>
        </w:rPr>
        <w:t>（款）</w:t>
      </w:r>
      <w:r>
        <w:rPr>
          <w:rFonts w:hint="eastAsia" w:ascii="仿宋" w:hAnsi="仿宋" w:eastAsia="仿宋"/>
          <w:b/>
          <w:bCs/>
          <w:color w:val="000000" w:themeColor="text1"/>
          <w:sz w:val="32"/>
          <w:szCs w:val="32"/>
        </w:rPr>
        <w:t>行政单位医疗</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支出决算为23.32万元，完成预算100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 w:hAnsi="仿宋" w:eastAsia="仿宋"/>
          <w:b/>
          <w:bCs/>
          <w:color w:val="000000" w:themeColor="text1"/>
          <w:sz w:val="32"/>
          <w:szCs w:val="32"/>
        </w:rPr>
        <w:t>卫生健康</w:t>
      </w:r>
      <w:r>
        <w:rPr>
          <w:rStyle w:val="14"/>
          <w:rFonts w:hint="eastAsia" w:ascii="仿宋" w:hAnsi="仿宋" w:eastAsia="仿宋"/>
          <w:bCs/>
          <w:color w:val="000000"/>
          <w:sz w:val="32"/>
          <w:szCs w:val="32"/>
        </w:rPr>
        <w:t>（类）</w:t>
      </w:r>
      <w:r>
        <w:rPr>
          <w:rFonts w:hint="eastAsia" w:ascii="仿宋" w:hAnsi="仿宋" w:eastAsia="仿宋"/>
          <w:b/>
          <w:bCs/>
          <w:color w:val="000000" w:themeColor="text1"/>
          <w:sz w:val="32"/>
          <w:szCs w:val="32"/>
        </w:rPr>
        <w:t>行政事业单位医疗</w:t>
      </w:r>
      <w:r>
        <w:rPr>
          <w:rStyle w:val="14"/>
          <w:rFonts w:hint="eastAsia" w:ascii="仿宋" w:hAnsi="仿宋" w:eastAsia="仿宋"/>
          <w:bCs/>
          <w:color w:val="000000"/>
          <w:sz w:val="32"/>
          <w:szCs w:val="32"/>
        </w:rPr>
        <w:t>（款）</w:t>
      </w:r>
      <w:r>
        <w:rPr>
          <w:rFonts w:hint="eastAsia" w:ascii="仿宋" w:hAnsi="仿宋" w:eastAsia="仿宋"/>
          <w:b/>
          <w:bCs/>
          <w:color w:val="000000" w:themeColor="text1"/>
          <w:sz w:val="32"/>
          <w:szCs w:val="32"/>
        </w:rPr>
        <w:t>公务员医疗补助</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支出决算为6万元，完成预算100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0" w:firstLineChars="200"/>
        <w:rPr>
          <w:rFonts w:ascii="宋体" w:hAnsi="宋体" w:cs="Arial"/>
          <w:color w:val="000000"/>
          <w:kern w:val="0"/>
          <w:sz w:val="22"/>
          <w:szCs w:val="22"/>
        </w:rPr>
      </w:pPr>
      <w:r>
        <w:rPr>
          <w:rFonts w:hint="eastAsia" w:ascii="仿宋" w:hAnsi="仿宋" w:eastAsia="仿宋"/>
          <w:color w:val="000000"/>
          <w:sz w:val="32"/>
          <w:szCs w:val="32"/>
        </w:rPr>
        <w:t>5.</w:t>
      </w:r>
      <w:r>
        <w:rPr>
          <w:rFonts w:hint="eastAsia" w:ascii="仿宋" w:hAnsi="仿宋" w:eastAsia="仿宋"/>
          <w:b/>
          <w:color w:val="000000"/>
          <w:sz w:val="32"/>
          <w:szCs w:val="32"/>
        </w:rPr>
        <w:t>住房保障支出（类）住房改革支出（款）住房公积金（项）</w:t>
      </w:r>
      <w:r>
        <w:rPr>
          <w:rFonts w:hint="eastAsia" w:ascii="仿宋" w:hAnsi="仿宋" w:eastAsia="仿宋"/>
          <w:color w:val="000000"/>
          <w:sz w:val="32"/>
          <w:szCs w:val="32"/>
        </w:rPr>
        <w:t>:支出决算为59.46万元，完成预算100%</w:t>
      </w:r>
    </w:p>
    <w:p>
      <w:pPr>
        <w:tabs>
          <w:tab w:val="right" w:pos="8306"/>
        </w:tabs>
        <w:spacing w:line="600" w:lineRule="exact"/>
        <w:ind w:firstLine="640"/>
        <w:outlineLvl w:val="1"/>
        <w:rPr>
          <w:rStyle w:val="25"/>
        </w:rPr>
      </w:pPr>
      <w:bookmarkStart w:id="40" w:name="_Toc15377214"/>
      <w:bookmarkStart w:id="4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5"/>
          <w:rFonts w:hint="eastAsia" w:ascii="黑体" w:hAnsi="黑体" w:eastAsia="黑体"/>
          <w:b w:val="0"/>
        </w:rPr>
        <w:t>般公共预算财政拨款基本支出决算情况说明</w:t>
      </w:r>
      <w:bookmarkEnd w:id="40"/>
      <w:bookmarkEnd w:id="41"/>
      <w:r>
        <w:rPr>
          <w:rStyle w:val="2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9年一般公共预算财政拨款基本支出857.35万元，其中：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716.53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日常公用经费140.83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25"/>
          <w:rFonts w:ascii="黑体" w:hAnsi="黑体" w:eastAsia="黑体"/>
          <w:b w:val="0"/>
        </w:rPr>
      </w:pPr>
      <w:bookmarkStart w:id="42" w:name="_Toc15396609"/>
      <w:bookmarkStart w:id="43" w:name="_Toc15377215"/>
      <w:r>
        <w:rPr>
          <w:rFonts w:hint="eastAsia" w:ascii="黑体" w:eastAsia="黑体"/>
          <w:color w:val="000000"/>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42"/>
      <w:bookmarkEnd w:id="43"/>
    </w:p>
    <w:p>
      <w:pPr>
        <w:spacing w:line="600" w:lineRule="exact"/>
        <w:ind w:firstLine="640"/>
        <w:outlineLvl w:val="2"/>
        <w:rPr>
          <w:rFonts w:ascii="仿宋" w:hAnsi="仿宋" w:eastAsia="仿宋"/>
          <w:b/>
          <w:color w:val="000000"/>
          <w:sz w:val="32"/>
          <w:szCs w:val="32"/>
        </w:rPr>
      </w:pPr>
      <w:bookmarkStart w:id="44" w:name="_Toc15377216"/>
      <w:r>
        <w:rPr>
          <w:rFonts w:hint="eastAsia" w:ascii="仿宋" w:hAnsi="仿宋" w:eastAsia="仿宋"/>
          <w:b/>
          <w:color w:val="000000"/>
          <w:sz w:val="32"/>
          <w:szCs w:val="32"/>
        </w:rPr>
        <w:t>（一）“三公”经费财政拨款支出决算总体情况说明</w:t>
      </w:r>
      <w:bookmarkEnd w:id="44"/>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9年“三公”经费财政拨款支出决算为14.48万元，完成预算100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45" w:name="_Toc15377217"/>
      <w:r>
        <w:rPr>
          <w:rFonts w:hint="eastAsia" w:ascii="仿宋" w:hAnsi="仿宋" w:eastAsia="仿宋"/>
          <w:b/>
          <w:color w:val="000000"/>
          <w:sz w:val="32"/>
          <w:szCs w:val="32"/>
        </w:rPr>
        <w:t>（二）“三公”经费财政拨款支出决算具体情况说明</w:t>
      </w:r>
      <w:bookmarkEnd w:id="45"/>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9年“三公”经费财政拨款支出决算中，因公出国（境）费支出决算0万元，占0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；公务用车购置及运行维护费支出决算11.48万元，占79.28</w:t>
      </w:r>
      <w:r>
        <w:rPr>
          <w:rFonts w:ascii="仿宋" w:hAnsi="仿宋" w:eastAsia="仿宋"/>
          <w:color w:val="000000"/>
          <w:sz w:val="32"/>
          <w:szCs w:val="32"/>
        </w:rPr>
        <w:t>%</w:t>
      </w:r>
      <w:r>
        <w:rPr>
          <w:rFonts w:hint="eastAsia" w:ascii="仿宋" w:hAnsi="仿宋" w:eastAsia="仿宋"/>
          <w:color w:val="000000"/>
          <w:sz w:val="32"/>
          <w:szCs w:val="32"/>
        </w:rPr>
        <w:t>；公务接待费支出决算3万元，占20.72</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4384" behindDoc="0" locked="0" layoutInCell="1" allowOverlap="1">
            <wp:simplePos x="0" y="0"/>
            <wp:positionH relativeFrom="column">
              <wp:posOffset>123825</wp:posOffset>
            </wp:positionH>
            <wp:positionV relativeFrom="paragraph">
              <wp:posOffset>57150</wp:posOffset>
            </wp:positionV>
            <wp:extent cx="4829175" cy="1781810"/>
            <wp:effectExtent l="4445" t="4445" r="5080" b="2349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_GB2312" w:eastAsia="仿宋_GB2312"/>
          <w:b/>
          <w:color w:val="000000"/>
          <w:sz w:val="32"/>
          <w:szCs w:val="32"/>
        </w:rPr>
      </w:pP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rPr>
        <w:t>0万元，</w:t>
      </w:r>
      <w:r>
        <w:rPr>
          <w:rStyle w:val="14"/>
          <w:rFonts w:hint="eastAsia" w:ascii="仿宋" w:hAnsi="仿宋" w:eastAsia="仿宋"/>
          <w:b w:val="0"/>
          <w:bCs/>
          <w:color w:val="000000"/>
          <w:sz w:val="32"/>
          <w:szCs w:val="32"/>
        </w:rPr>
        <w:t>完成预算0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rPr>
        <w:t>11.48万元,</w:t>
      </w:r>
      <w:r>
        <w:rPr>
          <w:rStyle w:val="14"/>
          <w:rFonts w:hint="eastAsia" w:ascii="仿宋" w:hAnsi="仿宋" w:eastAsia="仿宋"/>
          <w:b w:val="0"/>
          <w:bCs/>
          <w:color w:val="000000"/>
          <w:sz w:val="32"/>
          <w:szCs w:val="32"/>
        </w:rPr>
        <w:t>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ascii="仿宋_GB2312" w:eastAsia="仿宋_GB2312"/>
          <w:color w:val="000000"/>
          <w:sz w:val="32"/>
          <w:szCs w:val="32"/>
        </w:rPr>
        <w:t>201</w:t>
      </w:r>
      <w:r>
        <w:rPr>
          <w:rFonts w:hint="eastAsia" w:ascii="仿宋_GB2312" w:eastAsia="仿宋_GB2312"/>
          <w:color w:val="000000"/>
          <w:sz w:val="32"/>
          <w:szCs w:val="32"/>
        </w:rPr>
        <w:t>8年减少5.11万元，下降30.80</w:t>
      </w:r>
      <w:r>
        <w:rPr>
          <w:rFonts w:ascii="仿宋_GB2312" w:eastAsia="仿宋_GB2312"/>
          <w:color w:val="000000"/>
          <w:sz w:val="32"/>
          <w:szCs w:val="32"/>
        </w:rPr>
        <w:t>%</w:t>
      </w:r>
      <w:r>
        <w:rPr>
          <w:rFonts w:hint="eastAsia" w:ascii="仿宋_GB2312" w:eastAsia="仿宋_GB2312"/>
          <w:color w:val="000000"/>
          <w:sz w:val="32"/>
          <w:szCs w:val="32"/>
        </w:rPr>
        <w:t>。主要原因是车辆更新后维护减少。</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rPr>
        <w:t>0万元。全年按规定更新购置公务用车0辆，金额0</w:t>
      </w:r>
      <w:r>
        <w:rPr>
          <w:rFonts w:ascii="仿宋_GB2312" w:eastAsia="仿宋_GB2312"/>
          <w:color w:val="000000"/>
          <w:sz w:val="32"/>
          <w:szCs w:val="32"/>
        </w:rPr>
        <w:t>元。</w:t>
      </w: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月底，单位共有公务用车4辆，其中：主要领导干部用车0辆、机要通信用车0辆、应急保障用车0辆、 执法执勤用车4辆。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rPr>
        <w:t>11.48万元。主要用于执行执法执勤工作等所需的公务用车燃料费、维修费、过路过桥费、保险费等支出。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color w:val="000000"/>
          <w:sz w:val="32"/>
          <w:szCs w:val="32"/>
        </w:rPr>
        <w:t>3万元，</w:t>
      </w:r>
      <w:r>
        <w:rPr>
          <w:rStyle w:val="14"/>
          <w:rFonts w:hint="eastAsia" w:ascii="仿宋" w:hAnsi="仿宋" w:eastAsia="仿宋"/>
          <w:b w:val="0"/>
          <w:bCs/>
          <w:color w:val="000000"/>
          <w:sz w:val="32"/>
          <w:szCs w:val="32"/>
        </w:rPr>
        <w:t>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w:t>
      </w:r>
      <w:r>
        <w:rPr>
          <w:rFonts w:hint="eastAsia" w:ascii="仿宋_GB2312" w:eastAsia="仿宋_GB2312"/>
          <w:color w:val="000000"/>
          <w:sz w:val="32"/>
          <w:szCs w:val="32"/>
        </w:rPr>
        <w:t>8年增加0.85万元，增长39.53</w:t>
      </w:r>
      <w:r>
        <w:rPr>
          <w:rFonts w:ascii="仿宋_GB2312" w:eastAsia="仿宋_GB2312"/>
          <w:color w:val="000000"/>
          <w:sz w:val="32"/>
          <w:szCs w:val="32"/>
        </w:rPr>
        <w:t>%</w:t>
      </w:r>
      <w:r>
        <w:rPr>
          <w:rFonts w:hint="eastAsia" w:ascii="仿宋_GB2312" w:eastAsia="仿宋_GB2312"/>
          <w:color w:val="000000"/>
          <w:sz w:val="32"/>
          <w:szCs w:val="32"/>
        </w:rPr>
        <w:t>。主要原因是国内公务接待人次增加，其中：</w:t>
      </w:r>
    </w:p>
    <w:p>
      <w:pPr>
        <w:spacing w:line="600" w:lineRule="exact"/>
        <w:ind w:firstLine="640"/>
        <w:rPr>
          <w:rFonts w:ascii="仿宋_GB2312" w:eastAsia="仿宋_GB2312"/>
          <w:color w:val="000000"/>
          <w:sz w:val="32"/>
          <w:szCs w:val="32"/>
        </w:rPr>
      </w:pPr>
      <w:r>
        <w:rPr>
          <w:rFonts w:hint="eastAsia" w:ascii="仿宋" w:hAnsi="仿宋" w:eastAsia="仿宋"/>
          <w:b/>
          <w:color w:val="000000"/>
          <w:sz w:val="32"/>
          <w:szCs w:val="32"/>
        </w:rPr>
        <w:t>国内公务接待支出</w:t>
      </w:r>
      <w:r>
        <w:rPr>
          <w:rFonts w:hint="eastAsia" w:ascii="仿宋" w:hAnsi="仿宋" w:eastAsia="仿宋"/>
          <w:color w:val="000000"/>
          <w:sz w:val="32"/>
          <w:szCs w:val="32"/>
        </w:rPr>
        <w:t>3</w:t>
      </w:r>
      <w:r>
        <w:rPr>
          <w:rFonts w:hint="eastAsia" w:ascii="仿宋_GB2312" w:eastAsia="仿宋_GB2312"/>
          <w:color w:val="000000"/>
          <w:sz w:val="32"/>
          <w:szCs w:val="32"/>
        </w:rPr>
        <w:t>万元，主要用于执行公务、开展业务活动开支的用餐费。国内公务接待43批次，434人次（不包括陪同人员），共计支出3万元，具体内容包括：接待高检院一行32人；省院政治部一行35人等。</w:t>
      </w:r>
    </w:p>
    <w:p>
      <w:pPr>
        <w:spacing w:line="600" w:lineRule="exact"/>
        <w:ind w:firstLine="643" w:firstLineChars="200"/>
        <w:rPr>
          <w:rFonts w:ascii="仿宋_GB2312" w:eastAsia="仿宋_GB2312"/>
          <w:color w:val="000000" w:themeColor="text1"/>
          <w:sz w:val="32"/>
          <w:szCs w:val="32"/>
        </w:rPr>
      </w:pPr>
      <w:r>
        <w:rPr>
          <w:rFonts w:hint="eastAsia" w:ascii="仿宋" w:hAnsi="仿宋" w:eastAsia="仿宋"/>
          <w:b/>
          <w:color w:val="000000"/>
          <w:sz w:val="32"/>
          <w:szCs w:val="32"/>
        </w:rPr>
        <w:t>外事接待支出</w:t>
      </w:r>
      <w:r>
        <w:rPr>
          <w:rFonts w:hint="eastAsia" w:ascii="仿宋" w:hAnsi="仿宋" w:eastAsia="仿宋"/>
          <w:color w:val="000000"/>
          <w:sz w:val="32"/>
          <w:szCs w:val="32"/>
        </w:rPr>
        <w:t>0</w:t>
      </w:r>
      <w:r>
        <w:rPr>
          <w:rFonts w:hint="eastAsia" w:ascii="仿宋_GB2312" w:eastAsia="仿宋_GB2312"/>
          <w:color w:val="000000"/>
          <w:sz w:val="32"/>
          <w:szCs w:val="32"/>
        </w:rPr>
        <w:t>万元</w:t>
      </w:r>
      <w:r>
        <w:rPr>
          <w:rFonts w:hint="eastAsia" w:ascii="仿宋_GB2312" w:eastAsia="仿宋_GB2312"/>
          <w:color w:val="000000" w:themeColor="text1"/>
          <w:sz w:val="32"/>
          <w:szCs w:val="32"/>
        </w:rPr>
        <w:t>，外事接待0批次0人，共计支出0万元。</w:t>
      </w:r>
    </w:p>
    <w:p>
      <w:pPr>
        <w:spacing w:line="600" w:lineRule="exact"/>
        <w:ind w:firstLine="640"/>
        <w:outlineLvl w:val="1"/>
        <w:rPr>
          <w:rFonts w:ascii="黑体" w:eastAsia="黑体"/>
          <w:color w:val="000000"/>
          <w:sz w:val="32"/>
          <w:szCs w:val="32"/>
        </w:rPr>
      </w:pPr>
      <w:bookmarkStart w:id="46" w:name="_Toc15396610"/>
      <w:bookmarkStart w:id="47" w:name="_Toc15377218"/>
    </w:p>
    <w:p>
      <w:pPr>
        <w:spacing w:line="600" w:lineRule="exact"/>
        <w:ind w:firstLine="640"/>
        <w:outlineLvl w:val="1"/>
        <w:rPr>
          <w:rStyle w:val="25"/>
          <w:rFonts w:ascii="黑体" w:hAnsi="黑体" w:eastAsia="黑体"/>
        </w:rPr>
      </w:pPr>
      <w:r>
        <w:rPr>
          <w:rFonts w:hint="eastAsia" w:ascii="黑体" w:eastAsia="黑体"/>
          <w:color w:val="000000"/>
          <w:sz w:val="32"/>
          <w:szCs w:val="32"/>
        </w:rPr>
        <w:t>八、</w:t>
      </w:r>
      <w:r>
        <w:rPr>
          <w:rStyle w:val="25"/>
          <w:rFonts w:hint="eastAsia" w:ascii="黑体" w:hAnsi="黑体" w:eastAsia="黑体"/>
          <w:b w:val="0"/>
        </w:rPr>
        <w:t>政府性基金预算支出决算情况说明</w:t>
      </w:r>
      <w:bookmarkEnd w:id="46"/>
      <w:bookmarkEnd w:id="4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9年政府性基金预算拨款支出0万元。</w:t>
      </w:r>
    </w:p>
    <w:p>
      <w:pPr>
        <w:spacing w:line="600" w:lineRule="exact"/>
        <w:ind w:firstLine="640"/>
        <w:rPr>
          <w:rFonts w:ascii="仿宋_GB2312" w:eastAsia="仿宋_GB2312"/>
          <w:color w:val="000000"/>
          <w:sz w:val="32"/>
          <w:szCs w:val="32"/>
        </w:rPr>
      </w:pPr>
    </w:p>
    <w:p>
      <w:pPr>
        <w:numPr>
          <w:ilvl w:val="0"/>
          <w:numId w:val="2"/>
        </w:numPr>
        <w:spacing w:line="600" w:lineRule="exact"/>
        <w:ind w:firstLine="640"/>
        <w:outlineLvl w:val="1"/>
        <w:rPr>
          <w:rStyle w:val="25"/>
          <w:rFonts w:ascii="黑体" w:hAnsi="黑体" w:eastAsia="黑体"/>
          <w:b w:val="0"/>
        </w:rPr>
      </w:pPr>
      <w:bookmarkStart w:id="48" w:name="_Toc15396611"/>
      <w:bookmarkStart w:id="49" w:name="_Toc15377219"/>
      <w:r>
        <w:rPr>
          <w:rStyle w:val="25"/>
          <w:rFonts w:hint="eastAsia" w:ascii="黑体" w:hAnsi="黑体" w:eastAsia="黑体"/>
          <w:b w:val="0"/>
        </w:rPr>
        <w:t>国有资本经营预算支出决算情况说明</w:t>
      </w:r>
      <w:bookmarkEnd w:id="48"/>
      <w:bookmarkEnd w:id="4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9年国有资本经营预算拨款支出0万元。</w:t>
      </w:r>
    </w:p>
    <w:p>
      <w:pPr>
        <w:spacing w:line="600" w:lineRule="exact"/>
        <w:ind w:firstLine="640" w:firstLineChars="200"/>
        <w:outlineLvl w:val="1"/>
        <w:rPr>
          <w:rStyle w:val="25"/>
          <w:rFonts w:ascii="黑体" w:hAnsi="黑体" w:eastAsia="黑体"/>
        </w:rPr>
      </w:pPr>
      <w:bookmarkStart w:id="50" w:name="_Toc15396612"/>
      <w:bookmarkStart w:id="51" w:name="_Toc15377221"/>
      <w:r>
        <w:rPr>
          <w:rFonts w:hint="eastAsia" w:ascii="黑体" w:hAnsi="黑体" w:eastAsia="黑体"/>
          <w:color w:val="000000"/>
          <w:sz w:val="32"/>
          <w:szCs w:val="32"/>
        </w:rPr>
        <w:t>十</w:t>
      </w:r>
      <w:r>
        <w:rPr>
          <w:rStyle w:val="25"/>
          <w:rFonts w:hint="eastAsia" w:ascii="黑体" w:hAnsi="黑体" w:eastAsia="黑体"/>
        </w:rPr>
        <w:t>、</w:t>
      </w:r>
      <w:r>
        <w:rPr>
          <w:rStyle w:val="25"/>
          <w:rFonts w:hint="eastAsia" w:ascii="黑体" w:hAnsi="黑体" w:eastAsia="黑体"/>
          <w:b w:val="0"/>
        </w:rPr>
        <w:t>其他重要事项的情况说明</w:t>
      </w:r>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ascii="仿宋_GB2312" w:eastAsia="仿宋_GB2312"/>
          <w:color w:val="000000" w:themeColor="text1"/>
          <w:sz w:val="32"/>
          <w:szCs w:val="32"/>
        </w:rPr>
      </w:pPr>
      <w:r>
        <w:rPr>
          <w:rFonts w:ascii="仿宋_GB2312" w:eastAsia="仿宋_GB2312"/>
          <w:color w:val="000000"/>
          <w:sz w:val="32"/>
          <w:szCs w:val="32"/>
        </w:rPr>
        <w:t>201</w:t>
      </w:r>
      <w:r>
        <w:rPr>
          <w:rFonts w:hint="eastAsia" w:ascii="仿宋_GB2312" w:eastAsia="仿宋_GB2312"/>
          <w:color w:val="000000"/>
          <w:sz w:val="32"/>
          <w:szCs w:val="32"/>
        </w:rPr>
        <w:t>9年，石棉县人民检察院机关运行经费支出140.83万元，比</w:t>
      </w:r>
      <w:r>
        <w:rPr>
          <w:rFonts w:ascii="仿宋_GB2312" w:eastAsia="仿宋_GB2312"/>
          <w:color w:val="000000"/>
          <w:sz w:val="32"/>
          <w:szCs w:val="32"/>
        </w:rPr>
        <w:t>201</w:t>
      </w:r>
      <w:r>
        <w:rPr>
          <w:rFonts w:hint="eastAsia" w:ascii="仿宋_GB2312" w:eastAsia="仿宋_GB2312"/>
          <w:color w:val="000000"/>
          <w:sz w:val="32"/>
          <w:szCs w:val="32"/>
        </w:rPr>
        <w:t>8年增加67.69万元，增长92.55</w:t>
      </w:r>
      <w:r>
        <w:rPr>
          <w:rFonts w:ascii="仿宋_GB2312" w:eastAsia="仿宋_GB2312"/>
          <w:color w:val="000000"/>
          <w:sz w:val="32"/>
          <w:szCs w:val="32"/>
        </w:rPr>
        <w:t>%</w:t>
      </w:r>
      <w:r>
        <w:rPr>
          <w:rFonts w:hint="eastAsia" w:ascii="仿宋_GB2312" w:eastAsia="仿宋_GB2312"/>
          <w:color w:val="000000"/>
          <w:sz w:val="32"/>
          <w:szCs w:val="32"/>
        </w:rPr>
        <w:t>。</w:t>
      </w:r>
      <w:r>
        <w:rPr>
          <w:rFonts w:hint="eastAsia" w:ascii="仿宋_GB2312" w:eastAsia="仿宋_GB2312"/>
          <w:color w:val="000000" w:themeColor="text1"/>
          <w:sz w:val="32"/>
          <w:szCs w:val="32"/>
        </w:rPr>
        <w:t>主要原因是购置办公设备和网络设备等。</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石棉县人民检察院政府采购支出总额30.44万元，其中：政府采购货物支出30.44万元、政府采购工程支出0万元、政府采购服务支出0万元。主要用于办案和办公。授予中小企业合同金额0万元，占政府采购支出总额的0</w:t>
      </w:r>
      <w:r>
        <w:rPr>
          <w:rFonts w:ascii="仿宋_GB2312" w:eastAsia="仿宋_GB2312"/>
          <w:color w:val="000000"/>
          <w:sz w:val="32"/>
          <w:szCs w:val="32"/>
        </w:rPr>
        <w:t>%</w:t>
      </w:r>
      <w:r>
        <w:rPr>
          <w:rFonts w:hint="eastAsia" w:ascii="仿宋_GB2312" w:eastAsia="仿宋_GB2312"/>
          <w:color w:val="000000"/>
          <w:sz w:val="32"/>
          <w:szCs w:val="32"/>
        </w:rPr>
        <w:t>，其中：授予小微企业合同金额0万元，占政府采购支出总额的0</w:t>
      </w:r>
      <w:r>
        <w:rPr>
          <w:rFonts w:ascii="仿宋_GB2312" w:eastAsia="仿宋_GB2312"/>
          <w:color w:val="000000"/>
          <w:sz w:val="32"/>
          <w:szCs w:val="32"/>
        </w:rPr>
        <w:t>%</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日，石棉县人民检察院共有车辆4辆，其中：主要领导干部用车0辆、机要通信用车0辆、应急保障用车0辆、执法执勤用车2辆、特种专业技术用车2辆、其他用车0辆 。</w:t>
      </w:r>
      <w:r>
        <w:rPr>
          <w:rFonts w:hint="eastAsia" w:ascii="仿宋_GB2312" w:eastAsia="仿宋_GB2312"/>
          <w:color w:val="000000" w:themeColor="text1"/>
          <w:sz w:val="32"/>
          <w:szCs w:val="32"/>
        </w:rPr>
        <w:t>单价</w:t>
      </w:r>
      <w:r>
        <w:rPr>
          <w:rFonts w:ascii="仿宋_GB2312" w:eastAsia="仿宋_GB2312"/>
          <w:color w:val="000000" w:themeColor="text1"/>
          <w:sz w:val="32"/>
          <w:szCs w:val="32"/>
        </w:rPr>
        <w:t>50</w:t>
      </w:r>
      <w:r>
        <w:rPr>
          <w:rFonts w:hint="eastAsia" w:ascii="仿宋_GB2312" w:eastAsia="仿宋_GB2312"/>
          <w:color w:val="000000" w:themeColor="text1"/>
          <w:sz w:val="32"/>
          <w:szCs w:val="32"/>
        </w:rPr>
        <w:t>万元以上通用设备0台（套），单价</w:t>
      </w:r>
      <w:r>
        <w:rPr>
          <w:rFonts w:ascii="仿宋_GB2312" w:eastAsia="仿宋_GB2312"/>
          <w:color w:val="000000" w:themeColor="text1"/>
          <w:sz w:val="32"/>
          <w:szCs w:val="32"/>
        </w:rPr>
        <w:t>100</w:t>
      </w:r>
      <w:r>
        <w:rPr>
          <w:rFonts w:hint="eastAsia" w:ascii="仿宋_GB2312" w:eastAsia="仿宋_GB2312"/>
          <w:color w:val="000000"/>
          <w:sz w:val="32"/>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对特需专项工作经费项目、机关党建经费项目、离退人员报刊费项目开展了预算事前绩效评估，对3个项目编制了绩效目标，预算执行过程中，选取3个项目开展绩效监控，年终执行完毕后，对3个项目开展了绩效目标完成情况自评。</w:t>
      </w:r>
    </w:p>
    <w:p>
      <w:pPr>
        <w:spacing w:line="58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本部门按要求对2019年部门整体支出开展绩效自评，从评价情况来看整体绩效情况良好，完成了年初制定的绩效目标。本部门还自行组织了3个项目支出绩效评价，从评价情况来看绩效情况良好。</w:t>
      </w:r>
    </w:p>
    <w:p>
      <w:pPr>
        <w:spacing w:line="58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1.项目绩效目标完成情况。</w:t>
      </w:r>
      <w:r>
        <w:rPr>
          <w:rFonts w:hint="eastAsia" w:ascii="楷体_GB2312" w:hAnsi="楷体_GB2312" w:eastAsia="楷体_GB2312" w:cs="楷体_GB2312"/>
          <w:sz w:val="32"/>
          <w:szCs w:val="32"/>
        </w:rPr>
        <w:br w:type="textWrapping"/>
      </w:r>
      <w:r>
        <w:rPr>
          <w:rFonts w:hint="eastAsia" w:ascii="仿宋_GB2312" w:hAnsi="仿宋_GB2312" w:eastAsia="仿宋_GB2312" w:cs="仿宋_GB2312"/>
          <w:sz w:val="32"/>
          <w:szCs w:val="32"/>
        </w:rPr>
        <w:t xml:space="preserve">    本部门在2019年度部门决算中反映“特需专项工作经费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“机关党建经费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“离退人员报刊费”等3个项目绩效目标实际完成情况。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（1）特需专项工作经费项目绩效目标完成情况综述。项目全年预算数3万元，执行数为3万元，完成预算的100%。通过项目实施，保障了脱贫攻坚工作的顺利开展。</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（2）机关党建经费项目绩效目标完成情况综述。项目全年预算数2.8万元，执行数为2.8万元，完成预算的100%。通过项目实施，保障了党建宣传等工作的顺利开展。</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（3）离退人员报刊费项目绩效目标完成情况综述。项目全年预算数0.03万元，执行数为0.03万元，完成预算的100%。通过项目实施，保障了离退休人员的报刊的征订工作顺利开展。</w:t>
      </w:r>
    </w:p>
    <w:p>
      <w:pPr>
        <w:spacing w:line="580" w:lineRule="exact"/>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0" w:type="auto"/>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特需专项工作经费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石棉县人民检察院</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3</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3</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完成本年内专项工作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完成本年内专项工作（脱贫攻坚工作）</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完成本年的脱贫攻坚工作</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完成本年的脱贫攻坚工作</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完成脱贫相关项目</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完成脱贫相关项目</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按时完成项目</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按时完成项目</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m:oMath>
              <m:r>
                <m:rPr>
                  <m:sty m:val="p"/>
                </m:rPr>
                <w:rPr>
                  <w:rFonts w:ascii="Cambria Math" w:hAnsi="Cambria Math" w:cs="宋体"/>
                  <w:color w:val="000000"/>
                  <w:sz w:val="24"/>
                </w:rPr>
                <m:t>&gt;</m:t>
              </m:r>
            </m:oMath>
            <w:r>
              <w:rPr>
                <w:rFonts w:hint="eastAsia" w:ascii="宋体" w:hAnsi="宋体" w:cs="宋体"/>
                <w:color w:val="000000"/>
                <w:sz w:val="24"/>
              </w:rPr>
              <w:t>95%</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92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887"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bl>
    <w:p>
      <w:pPr>
        <w:spacing w:line="580" w:lineRule="exact"/>
        <w:ind w:left="630"/>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0" w:type="auto"/>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机关党建经费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石棉县人民检察院</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2.8</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2.8</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2.8</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2.8</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完成本年内机关党建小程序建设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完成本年内机关党建小程序建设</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完成本年党建小程序建设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完成本年党建小程序建设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党建小程序运行正常</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党建小程序运行正常</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按时完成建设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按时完成建设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m:oMath>
              <m:r>
                <m:rPr>
                  <m:sty m:val="p"/>
                </m:rPr>
                <w:rPr>
                  <w:rFonts w:ascii="Cambria Math" w:hAnsi="Cambria Math" w:cs="宋体"/>
                  <w:color w:val="000000"/>
                  <w:sz w:val="24"/>
                </w:rPr>
                <m:t>&gt;</m:t>
              </m:r>
            </m:oMath>
            <w:r>
              <w:rPr>
                <w:rFonts w:hint="eastAsia" w:ascii="宋体" w:hAnsi="宋体" w:cs="宋体"/>
                <w:color w:val="000000"/>
                <w:sz w:val="24"/>
              </w:rPr>
              <w:t>95%</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92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887"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bl>
    <w:p>
      <w:pPr>
        <w:spacing w:line="580" w:lineRule="exact"/>
        <w:ind w:left="630"/>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0" w:type="auto"/>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离退休人员报刊经费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石棉县人民检察院</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0.03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0.03</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0.03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0.03</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完成报刊征订工作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完成报刊征订工作</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完成本年报刊征订</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完成本年报刊征订</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征订报刊按时送达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征订报刊按时送达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按时完成征订</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按时完成征订</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r>
              <w:rPr>
                <w:rFonts w:hint="eastAsia" w:ascii="宋体" w:hAnsi="宋体" w:cs="宋体"/>
                <w:color w:val="000000"/>
                <w:sz w:val="24"/>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m:oMath>
              <m:r>
                <m:rPr>
                  <m:sty m:val="p"/>
                </m:rPr>
                <w:rPr>
                  <w:rFonts w:ascii="Cambria Math" w:hAnsi="Cambria Math" w:cs="宋体"/>
                  <w:color w:val="000000"/>
                  <w:sz w:val="24"/>
                </w:rPr>
                <m:t>&gt;</m:t>
              </m:r>
            </m:oMath>
            <w:r>
              <w:rPr>
                <w:rFonts w:hint="eastAsia" w:ascii="宋体" w:hAnsi="宋体" w:cs="宋体"/>
                <w:color w:val="000000"/>
                <w:sz w:val="24"/>
              </w:rPr>
              <w:t>95%</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92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887"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bl>
    <w:p>
      <w:pPr>
        <w:spacing w:line="580" w:lineRule="exact"/>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r>
        <w:rPr>
          <w:rFonts w:hint="eastAsia" w:ascii="楷体_GB2312" w:hAnsi="楷体_GB2312" w:eastAsia="楷体_GB2312" w:cs="楷体_GB2312"/>
          <w:sz w:val="32"/>
          <w:szCs w:val="32"/>
        </w:rPr>
        <w:t>2.部门绩效评价结果。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本部门按要求对2019年部门整体支出绩效评价情况开展自评，《石棉县人民检察院2019年部门整体支出绩效评价报告》见附件（附件1）。</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自行组织对特需专项工作经费项目、机关党建经费项目、离退休人员报刊经费项目开展了绩效评价，《特需专项工作经费项目2019年绩效评价报告》、《机关党建经费项目2019年绩效评价报告》《离退休人员报刊经费项目2019年绩效评价报告》见附件（附件2）。</w:t>
      </w:r>
      <w:bookmarkStart w:id="55" w:name="_Toc15396613"/>
      <w:bookmarkStart w:id="56" w:name="_Toc15377225"/>
    </w:p>
    <w:p>
      <w:pPr>
        <w:spacing w:line="580" w:lineRule="exact"/>
        <w:ind w:firstLine="880" w:firstLineChars="200"/>
        <w:rPr>
          <w:rFonts w:ascii="黑体" w:hAnsi="黑体" w:eastAsia="黑体"/>
          <w:color w:val="000000"/>
          <w:sz w:val="44"/>
          <w:szCs w:val="44"/>
        </w:rPr>
      </w:pPr>
    </w:p>
    <w:p>
      <w:pPr>
        <w:spacing w:line="580" w:lineRule="exact"/>
        <w:ind w:firstLine="880" w:firstLineChars="200"/>
        <w:rPr>
          <w:rFonts w:ascii="黑体" w:hAnsi="黑体" w:eastAsia="黑体"/>
          <w:bCs/>
          <w:kern w:val="44"/>
          <w:sz w:val="44"/>
          <w:szCs w:val="44"/>
        </w:rPr>
      </w:pPr>
      <w:r>
        <w:rPr>
          <w:rFonts w:hint="eastAsia" w:ascii="黑体" w:hAnsi="黑体" w:eastAsia="黑体"/>
          <w:color w:val="000000"/>
          <w:sz w:val="44"/>
          <w:szCs w:val="44"/>
        </w:rPr>
        <w:t>名</w:t>
      </w:r>
      <w:r>
        <w:rPr>
          <w:rStyle w:val="24"/>
          <w:rFonts w:hint="eastAsia" w:ascii="黑体" w:hAnsi="黑体" w:eastAsia="黑体"/>
          <w:b w:val="0"/>
        </w:rPr>
        <w:t>词解释</w:t>
      </w:r>
      <w:bookmarkEnd w:id="55"/>
      <w:bookmarkEnd w:id="56"/>
    </w:p>
    <w:p>
      <w:pPr>
        <w:pStyle w:val="22"/>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一般公共服务（类）其他一般公共服务支出（款）其他一般公共服务支出（项）：指单位项目以外的其他一般公共服务支出。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公共安全（类）检察（款）行政运行（项）：指行政单位的基本支出。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公共安全（类）检察（款）一般行政管理事务（项）：指行政单位的项目支出。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rPr>
        <w:t>社会保障和就业（类）行政事业单位离退休（款）机关事业单位基本养老保险缴费支出（项）：指机关事业单位实施养老保险制度由单位缴纳的基本颜老保险支出。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3</w:t>
      </w:r>
      <w:r>
        <w:rPr>
          <w:rFonts w:ascii="仿宋_GB2312" w:eastAsia="仿宋_GB2312"/>
          <w:color w:val="000000"/>
          <w:sz w:val="32"/>
          <w:szCs w:val="32"/>
        </w:rPr>
        <w:t>.</w:t>
      </w:r>
      <w:r>
        <w:rPr>
          <w:rFonts w:hint="eastAsia" w:ascii="仿宋_GB2312" w:eastAsia="仿宋_GB2312"/>
          <w:color w:val="000000"/>
          <w:sz w:val="32"/>
          <w:szCs w:val="32"/>
        </w:rPr>
        <w:t>社会保障和就业（类）行政事业单位离退休（款）  机关事业单位职业年金缴费支出（项）：指机关事业单位实施养老保险制度由单位缴纳的职业年金支出。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4</w:t>
      </w:r>
      <w:r>
        <w:rPr>
          <w:rFonts w:ascii="仿宋_GB2312" w:eastAsia="仿宋_GB2312"/>
          <w:color w:val="000000"/>
          <w:sz w:val="32"/>
          <w:szCs w:val="32"/>
        </w:rPr>
        <w:t>.</w:t>
      </w:r>
      <w:r>
        <w:rPr>
          <w:rFonts w:hint="eastAsia" w:ascii="仿宋_GB2312" w:eastAsia="仿宋_GB2312"/>
          <w:color w:val="000000"/>
          <w:sz w:val="32"/>
          <w:szCs w:val="32"/>
        </w:rPr>
        <w:t>社会保障和就业（类）抚恤（款）死亡抚恤（项）：指按规定用于烈士和牺牲、病故人员家属的一次性和定期抚恤金以及丧葬补助费。</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5</w:t>
      </w:r>
      <w:r>
        <w:rPr>
          <w:rFonts w:ascii="仿宋_GB2312" w:eastAsia="仿宋_GB2312"/>
          <w:color w:val="000000"/>
          <w:sz w:val="32"/>
          <w:szCs w:val="32"/>
        </w:rPr>
        <w:t>.</w:t>
      </w:r>
      <w:r>
        <w:rPr>
          <w:rFonts w:hint="eastAsia" w:ascii="仿宋_GB2312" w:eastAsia="仿宋_GB2312"/>
          <w:color w:val="000000"/>
          <w:sz w:val="32"/>
          <w:szCs w:val="32"/>
        </w:rPr>
        <w:t>医疗卫生与计划生育（类）行政事业单位医疗（款）  行政单位医疗（项）：指行政单位基本医疗保险缴费经费。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16.医疗卫生与计划生育（类）行政事业单位医疗（款）    公务员医疗补助（项）：指公务员医疗补助经费。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17</w:t>
      </w:r>
      <w:r>
        <w:rPr>
          <w:rFonts w:ascii="仿宋_GB2312" w:eastAsia="仿宋_GB2312"/>
          <w:color w:val="000000"/>
          <w:sz w:val="32"/>
          <w:szCs w:val="32"/>
        </w:rPr>
        <w:t>.</w:t>
      </w:r>
      <w:r>
        <w:rPr>
          <w:rFonts w:hint="eastAsia" w:ascii="仿宋_GB2312" w:eastAsia="仿宋_GB2312"/>
          <w:color w:val="000000"/>
          <w:sz w:val="32"/>
          <w:szCs w:val="32"/>
        </w:rPr>
        <w:t>住房保障（类）住房改革支出（款） 住房公积金（项）：指行政事业单位按规定的基本工资和津贴补贴以及规定的比例为职工缴纳的住房公积金。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18</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19</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20</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rPr>
        <w:t>21</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rPr>
        <w:t>22</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cs="黑体"/>
          <w:sz w:val="32"/>
          <w:szCs w:val="32"/>
        </w:rPr>
      </w:pPr>
    </w:p>
    <w:p>
      <w:pPr>
        <w:spacing w:line="600" w:lineRule="exact"/>
        <w:jc w:val="center"/>
        <w:outlineLvl w:val="0"/>
        <w:rPr>
          <w:rStyle w:val="24"/>
          <w:rFonts w:ascii="黑体" w:hAnsi="黑体" w:eastAsia="黑体"/>
          <w:b w:val="0"/>
        </w:rPr>
      </w:pPr>
      <w:bookmarkStart w:id="57" w:name="_Toc15377226"/>
      <w:r>
        <w:rPr>
          <w:rFonts w:ascii="宋体"/>
          <w:b/>
          <w:color w:val="000000"/>
          <w:sz w:val="44"/>
          <w:szCs w:val="44"/>
        </w:rPr>
        <w:br w:type="page"/>
      </w:r>
      <w:bookmarkStart w:id="58" w:name="_Toc15396614"/>
      <w:r>
        <w:rPr>
          <w:rFonts w:hint="eastAsia" w:ascii="黑体" w:hAnsi="黑体" w:eastAsia="黑体"/>
          <w:color w:val="000000"/>
          <w:sz w:val="44"/>
          <w:szCs w:val="44"/>
        </w:rPr>
        <w:t>第</w:t>
      </w:r>
      <w:r>
        <w:rPr>
          <w:rStyle w:val="24"/>
          <w:rFonts w:hint="eastAsia" w:ascii="黑体" w:hAnsi="黑体" w:eastAsia="黑体"/>
          <w:b w:val="0"/>
        </w:rPr>
        <w:t>四部分 附件</w:t>
      </w:r>
      <w:bookmarkEnd w:id="58"/>
    </w:p>
    <w:p>
      <w:pPr>
        <w:spacing w:line="600" w:lineRule="exact"/>
        <w:jc w:val="left"/>
        <w:outlineLvl w:val="0"/>
        <w:rPr>
          <w:rFonts w:ascii="方正小标宋简体" w:hAnsi="方正小标宋简体" w:eastAsia="方正小标宋简体" w:cs="方正小标宋简体"/>
          <w:sz w:val="32"/>
          <w:szCs w:val="32"/>
        </w:rPr>
      </w:pPr>
      <w:r>
        <w:rPr>
          <w:rFonts w:hint="eastAsia" w:ascii="黑体" w:hAnsi="黑体" w:eastAsia="黑体" w:cs="黑体"/>
          <w:sz w:val="32"/>
          <w:szCs w:val="32"/>
        </w:rPr>
        <w:t>附件1</w:t>
      </w:r>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lang w:val="zh-CN"/>
        </w:rPr>
      </w:pPr>
      <w:r>
        <w:rPr>
          <w:rFonts w:hint="eastAsia" w:ascii="方正小标宋简体" w:hAnsi="宋体" w:eastAsia="方正小标宋简体"/>
          <w:color w:val="000000"/>
          <w:kern w:val="0"/>
          <w:sz w:val="40"/>
          <w:szCs w:val="44"/>
        </w:rPr>
        <w:t>雅安市石棉县人民检察院</w:t>
      </w:r>
      <w:r>
        <w:rPr>
          <w:rFonts w:hint="eastAsia" w:ascii="方正小标宋简体" w:hAnsi="宋体" w:eastAsia="方正小标宋简体"/>
          <w:color w:val="000000"/>
          <w:kern w:val="0"/>
          <w:sz w:val="40"/>
          <w:szCs w:val="44"/>
          <w:lang w:val="zh-CN"/>
        </w:rPr>
        <w:t>部门</w:t>
      </w:r>
      <w:r>
        <w:rPr>
          <w:rFonts w:ascii="方正小标宋简体" w:hAnsi="宋体" w:eastAsia="方正小标宋简体"/>
          <w:color w:val="000000"/>
          <w:kern w:val="0"/>
          <w:sz w:val="40"/>
          <w:szCs w:val="44"/>
        </w:rPr>
        <w:t>2019年部门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（一）机构组成。根据《石棉县人民检察院内设机构改革试点方案》，内设机构分为：第一检察部；第二检察部；第三检察部；政治部；办公室。</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机构职能。人民检察院通过行使检察权，镇压一切叛国的、分裂国家的和其他危害国家安全的活动。维护国家的统一，维护人民民主专政制度；通过行使检察权，保护国有财产和劳动群众集体所有财产，公民私人所有的合法财产，积极同破坏社会主义经济秩序和侵犯财产的犯罪进行斗争，维护社会主义经济秩序，保障社会主义现代化建设的顺利进行；通过行使检察权，保障公民的人身权利、民主权利和其他合法财产；通过行使检察权，教育公民忠于社会主义祖国，自觉地遵守宪法和法律，积极同违法行为作斗争。</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（三）人员概况。2019年末，我院编制人数共40人，其中政法专项编制34人，行政工勤2人，事业人员4人。2019年12月31日我院实有在编在岗人员为39人，其中政法专项编制人员33人，行政工勤2人，事业人员4人。</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2019年本年实际预算收入938.70万元。其中：一般公共预算财政拨款收入938.70，占100%；无政府性基金预算财政拨款收入</w:t>
      </w:r>
      <w:r>
        <w:rPr>
          <w:rFonts w:hint="eastAsia" w:ascii="仿宋_GB2312" w:hAnsi="宋体" w:eastAsia="仿宋_GB2312" w:cs="宋体"/>
          <w:color w:val="000000"/>
          <w:kern w:val="0"/>
          <w:sz w:val="32"/>
          <w:szCs w:val="32"/>
          <w:shd w:val="clear" w:color="auto" w:fill="FFFFFF"/>
          <w:lang w:val="zh-CN"/>
        </w:rPr>
        <w:tab/>
      </w:r>
      <w:r>
        <w:rPr>
          <w:rFonts w:hint="eastAsia" w:ascii="仿宋_GB2312" w:hAnsi="宋体" w:eastAsia="仿宋_GB2312" w:cs="宋体"/>
          <w:color w:val="000000"/>
          <w:kern w:val="0"/>
          <w:sz w:val="32"/>
          <w:szCs w:val="32"/>
          <w:shd w:val="clear" w:color="auto" w:fill="FFFFFF"/>
          <w:lang w:val="zh-CN"/>
        </w:rPr>
        <w:t>；无国有资本经营预算财政拨款收入；无上级补助收入</w:t>
      </w:r>
      <w:r>
        <w:rPr>
          <w:rFonts w:hint="eastAsia" w:ascii="仿宋_GB2312" w:hAnsi="宋体" w:eastAsia="仿宋_GB2312" w:cs="宋体"/>
          <w:color w:val="000000"/>
          <w:kern w:val="0"/>
          <w:sz w:val="32"/>
          <w:szCs w:val="32"/>
          <w:shd w:val="clear" w:color="auto" w:fill="FFFFFF"/>
          <w:lang w:val="zh-CN"/>
        </w:rPr>
        <w:tab/>
      </w:r>
      <w:r>
        <w:rPr>
          <w:rFonts w:hint="eastAsia" w:ascii="仿宋_GB2312" w:hAnsi="宋体" w:eastAsia="仿宋_GB2312" w:cs="宋体"/>
          <w:color w:val="000000"/>
          <w:kern w:val="0"/>
          <w:sz w:val="32"/>
          <w:szCs w:val="32"/>
          <w:shd w:val="clear" w:color="auto" w:fill="FFFFFF"/>
          <w:lang w:val="zh-CN"/>
        </w:rPr>
        <w:t>事业收入；无经营收入</w:t>
      </w:r>
      <w:r>
        <w:rPr>
          <w:rFonts w:hint="eastAsia" w:ascii="仿宋_GB2312" w:hAnsi="宋体" w:eastAsia="仿宋_GB2312" w:cs="宋体"/>
          <w:color w:val="000000"/>
          <w:kern w:val="0"/>
          <w:sz w:val="32"/>
          <w:szCs w:val="32"/>
          <w:shd w:val="clear" w:color="auto" w:fill="FFFFFF"/>
          <w:lang w:val="zh-CN"/>
        </w:rPr>
        <w:tab/>
      </w:r>
      <w:r>
        <w:rPr>
          <w:rFonts w:hint="eastAsia" w:ascii="仿宋_GB2312" w:hAnsi="宋体" w:eastAsia="仿宋_GB2312" w:cs="宋体"/>
          <w:color w:val="000000"/>
          <w:kern w:val="0"/>
          <w:sz w:val="32"/>
          <w:szCs w:val="32"/>
          <w:shd w:val="clear" w:color="auto" w:fill="FFFFFF"/>
          <w:lang w:val="zh-CN"/>
        </w:rPr>
        <w:t>；无附属单位上缴收入；无其他收入。</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（二）部门财政资金支出情况。</w:t>
      </w:r>
    </w:p>
    <w:p>
      <w:pPr>
        <w:widowControl/>
        <w:adjustRightInd w:val="0"/>
        <w:snapToGrid w:val="0"/>
        <w:spacing w:line="58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2019年本年支出合计1034.09万元，其中基本支出857.35万元，占82.91%；项目支出176.74万元，占17.09%；无上缴上级支出；无经营支出；无对附属单位补助支出。</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2019年的部门预算编制主要按如下标准填报：</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1）人员经费：主要包括在职人员工资及奖金、医疗保险、住房公积金。在职人员的工资主要参照2018年末人员工资及津贴编制；养老保险和职业年金分别按照纳入基数项的规定比例数核算；医疗保险个人缴纳部分按在职人员基本工资和津贴7.5%，单位缴纳部分按在职的基本工资和津贴、补贴的2%核算编制；住房公积金单位缴纳部分和个人缴纳部分都是按在职人员基本工资和津贴的12%核算编制。</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2）公用经费：主要包括基本公用经费、车辆经费、电话费和工会经费。基本公用经费按相关文件规定1.8万元/人核算。车辆经费和电话费按相关文件给予保障；工会经费是按在职人员的基本工资和津贴的1.2%核算编制。</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3）项目经费：主要包括法警执勤津贴、加班津贴、特需专项工作经费、公务交通补贴、机关党建经费、离退休报刊费、绩效考核工资。法警的执勤津贴和节假日加班津贴都是按2018年末人数和相关文件的标准核算编制。</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执行管理情况。</w:t>
      </w:r>
      <w:r>
        <w:rPr>
          <w:rFonts w:hint="eastAsia" w:ascii="仿宋_GB2312" w:hAnsi="宋体" w:eastAsia="仿宋_GB2312" w:cs="宋体"/>
          <w:color w:val="000000"/>
          <w:kern w:val="0"/>
          <w:sz w:val="32"/>
          <w:szCs w:val="32"/>
          <w:shd w:val="clear" w:color="auto" w:fill="FFFFFF"/>
          <w:lang w:val="zh-CN"/>
        </w:rPr>
        <w:tab/>
      </w:r>
      <w:r>
        <w:rPr>
          <w:rFonts w:hint="eastAsia" w:ascii="仿宋_GB2312" w:hAnsi="宋体" w:eastAsia="仿宋_GB2312" w:cs="宋体"/>
          <w:color w:val="000000"/>
          <w:kern w:val="0"/>
          <w:sz w:val="32"/>
          <w:szCs w:val="32"/>
          <w:shd w:val="clear" w:color="auto" w:fill="FFFFFF"/>
          <w:lang w:val="zh-CN"/>
        </w:rPr>
        <w:t>每年6月前我院的预算都是按县财政预拨控制数逐月均衡支出，4、5月后控制数比较吃紧；预算下达后，将严格按分月用款计划执行；10月后控制资金的使用进度。全年预算执行有序进行，足额保障检察业务的开展。</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综合管理情况。政府采购实施计划：严格按照政府采购目录规定执行设备采购，并在四川政府采购网公告、备案。资产管理：合理分配设备，按要求录入资产管理信息系统进行动态管理。内控制度管理：严格财务审核报销制度，执行相关报销标准。信息公开：按时间和要求进行财务预算、决算公开。绩效评价：认真开展年度绩效评价相关工作。依法接受财政监督情况：自觉接受县财政监督管理，按要求报送相关数据材料。</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石棉县人民检察院对部门预算绩效管理工作开展情况进行了自查自评。绩效评价范围覆盖全单位，将评价结果作为预算安排的参考，调整支出结构，优化财政资金配置，不断强化绩效理念，有效保障检察事业的发展。</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综合2019年度我院整体支出情况认为，我院在项目资金预算绩效方面总体上是管理使用到位的，自评结果良好。坚持勤俭节约，反对铺张浪费，严格执行公务接待相关规定，保障机关正常运转和检察业务的持续发展，达到预期的绩效目标。</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（二）存在问题。</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预算安排“人头”经费偏低，加之物价水平的上涨，公用经费比较紧张。</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（三）改进建议。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根据物价水平调整“人头”经费。根据往年实际情况调整“三公”经费的预算支出。办公经费分配结合上年数据和目前物价水平进行调整。</w:t>
      </w: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r>
        <w:rPr>
          <w:rFonts w:hint="eastAsia" w:ascii="黑体" w:hAnsi="黑体" w:eastAsia="黑体" w:cs="黑体"/>
          <w:sz w:val="32"/>
          <w:szCs w:val="32"/>
        </w:rPr>
        <w:t>附件2</w:t>
      </w:r>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特需专项工作经费</w:t>
      </w:r>
      <w:r>
        <w:rPr>
          <w:rFonts w:hint="eastAsia" w:ascii="方正小标宋简体" w:hAnsi="宋体" w:eastAsia="方正小标宋简体"/>
          <w:color w:val="000000"/>
          <w:kern w:val="0"/>
          <w:sz w:val="44"/>
          <w:szCs w:val="44"/>
          <w:lang w:val="zh-CN"/>
        </w:rPr>
        <w:t>项目</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2019年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hAns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为促进单位专项工作的开展，于年初申报特需专项工作经费3万元。县财政局于2019年1月将财政预算资金3万元拨付到位。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该项目经费主要用于当年的脱贫攻坚工作。</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（三）项目资金申报相符性。</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该项目申报内容与具体实施内容相符、申报目标合理可行。</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二、项目实施及管理情况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（一）资金计划、到位及使用情况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该项目资金准时足额到位，全部用于脱贫攻坚工作支出。</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该项目资金管理严格执行财务管理制度、财务处理及时、会计核算规范。</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（三）项目组织实施情况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该项目由政治部组织实施。</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三、项目绩效情况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2019年完成脱贫攻坚相关工作。</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该项目有利于2019年石棉县人民检察院脱贫攻坚工作的完成。</w:t>
      </w:r>
    </w:p>
    <w:p>
      <w:pPr>
        <w:pStyle w:val="23"/>
        <w:numPr>
          <w:ilvl w:val="0"/>
          <w:numId w:val="1"/>
        </w:numPr>
        <w:adjustRightInd w:val="0"/>
        <w:snapToGrid w:val="0"/>
        <w:spacing w:line="600" w:lineRule="exact"/>
        <w:ind w:firstLineChars="0"/>
        <w:rPr>
          <w:rFonts w:ascii="黑体" w:hAnsi="宋体" w:eastAsia="黑体"/>
          <w:sz w:val="32"/>
          <w:szCs w:val="32"/>
        </w:rPr>
      </w:pPr>
      <w:r>
        <w:rPr>
          <w:rFonts w:hint="eastAsia" w:ascii="黑体" w:hAnsi="宋体" w:eastAsia="黑体"/>
          <w:sz w:val="32"/>
          <w:szCs w:val="32"/>
        </w:rPr>
        <w:t>问题及建议</w:t>
      </w:r>
    </w:p>
    <w:p>
      <w:pPr>
        <w:pStyle w:val="23"/>
        <w:numPr>
          <w:ilvl w:val="0"/>
          <w:numId w:val="3"/>
        </w:numPr>
        <w:adjustRightInd w:val="0"/>
        <w:snapToGrid w:val="0"/>
        <w:spacing w:line="600" w:lineRule="exact"/>
        <w:ind w:firstLineChars="0"/>
        <w:rPr>
          <w:rFonts w:ascii="楷体_GB2312" w:hAnsi="宋体" w:eastAsia="楷体_GB2312"/>
          <w:b/>
          <w:sz w:val="32"/>
          <w:szCs w:val="32"/>
          <w:lang w:val="zh-CN"/>
        </w:rPr>
      </w:pPr>
      <w:r>
        <w:rPr>
          <w:rFonts w:hint="eastAsia" w:ascii="楷体_GB2312" w:hAnsi="宋体" w:eastAsia="楷体_GB2312"/>
          <w:b/>
          <w:sz w:val="32"/>
          <w:szCs w:val="32"/>
          <w:lang w:val="zh-CN"/>
        </w:rPr>
        <w:t>存在的问题</w:t>
      </w:r>
    </w:p>
    <w:p>
      <w:pPr>
        <w:adjustRightInd w:val="0"/>
        <w:snapToGrid w:val="0"/>
        <w:spacing w:line="600" w:lineRule="exact"/>
        <w:ind w:left="640" w:leftChars="305" w:firstLine="160" w:firstLineChars="50"/>
        <w:rPr>
          <w:rFonts w:ascii="仿宋_GB2312" w:hAnsi="宋体" w:eastAsia="仿宋_GB2312"/>
          <w:sz w:val="32"/>
          <w:szCs w:val="32"/>
          <w:lang w:val="zh-CN"/>
        </w:rPr>
      </w:pPr>
      <w:r>
        <w:rPr>
          <w:rFonts w:hint="eastAsia" w:ascii="仿宋_GB2312" w:hAnsi="宋体" w:eastAsia="仿宋_GB2312"/>
          <w:sz w:val="32"/>
          <w:szCs w:val="32"/>
          <w:lang w:val="zh-CN"/>
        </w:rPr>
        <w:t>无。</w:t>
      </w:r>
    </w:p>
    <w:p>
      <w:pPr>
        <w:pStyle w:val="23"/>
        <w:numPr>
          <w:ilvl w:val="0"/>
          <w:numId w:val="3"/>
        </w:numPr>
        <w:adjustRightInd w:val="0"/>
        <w:snapToGrid w:val="0"/>
        <w:spacing w:line="600" w:lineRule="exact"/>
        <w:ind w:firstLineChars="0"/>
        <w:rPr>
          <w:rFonts w:ascii="楷体_GB2312" w:hAnsi="宋体" w:eastAsia="楷体_GB2312"/>
          <w:b/>
          <w:sz w:val="32"/>
          <w:szCs w:val="32"/>
          <w:lang w:val="zh-CN"/>
        </w:rPr>
      </w:pPr>
      <w:r>
        <w:rPr>
          <w:rFonts w:hint="eastAsia" w:ascii="楷体_GB2312" w:hAnsi="宋体" w:eastAsia="楷体_GB2312"/>
          <w:b/>
          <w:sz w:val="32"/>
          <w:szCs w:val="32"/>
          <w:lang w:val="zh-CN"/>
        </w:rPr>
        <w:t>相关建议</w:t>
      </w:r>
    </w:p>
    <w:p>
      <w:pPr>
        <w:adjustRightInd w:val="0"/>
        <w:snapToGrid w:val="0"/>
        <w:spacing w:line="600" w:lineRule="exact"/>
        <w:ind w:left="640" w:leftChars="305" w:firstLine="160" w:firstLineChars="50"/>
        <w:rPr>
          <w:rFonts w:ascii="仿宋_GB2312" w:hAnsi="宋体" w:eastAsia="仿宋_GB2312"/>
          <w:sz w:val="32"/>
          <w:szCs w:val="32"/>
          <w:lang w:val="zh-CN"/>
        </w:rPr>
      </w:pPr>
      <w:r>
        <w:rPr>
          <w:rFonts w:hint="eastAsia" w:ascii="仿宋_GB2312" w:hAnsi="宋体" w:eastAsia="仿宋_GB2312"/>
          <w:sz w:val="32"/>
          <w:szCs w:val="32"/>
          <w:lang w:val="zh-CN"/>
        </w:rPr>
        <w:t>无。</w:t>
      </w:r>
    </w:p>
    <w:p>
      <w:pPr>
        <w:spacing w:line="580" w:lineRule="exact"/>
        <w:ind w:firstLine="640"/>
        <w:rPr>
          <w:rFonts w:ascii="仿宋_GB2312" w:hAnsi="仿宋_GB2312" w:eastAsia="仿宋_GB2312" w:cs="仿宋_GB2312"/>
          <w:sz w:val="3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机关党建经费</w:t>
      </w:r>
      <w:r>
        <w:rPr>
          <w:rFonts w:hint="eastAsia" w:ascii="方正小标宋简体" w:hAnsi="宋体" w:eastAsia="方正小标宋简体"/>
          <w:color w:val="000000"/>
          <w:kern w:val="0"/>
          <w:sz w:val="44"/>
          <w:szCs w:val="44"/>
          <w:lang w:val="zh-CN"/>
        </w:rPr>
        <w:t>项目</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2019年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hAns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为促进机关党建工作的开展，于年初申报关党建工作经费2.8万元。县财政局于2019年1月将财政预算资金2.8万元拨付到位。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该项目经费主要用于当年的党建工作。</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（三）项目资金申报相符性。</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该项目申报内容与具体实施内容相符、申报目标合理可行。</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二、项目实施及管理情况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（一）资金计划、到位及使用情况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该项目资金准时足额到位，全部用于党建工作支出。</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该项目资金管理严格执行财务管理制度、财务处理及时、会计核算规范。</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（三）项目组织实施情况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该项目由政治部组织实施。</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三、项目绩效情况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2019年完成党建相关工作。</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该项目有效满足2019年石棉县人民检察院党建工作的开展。</w:t>
      </w:r>
    </w:p>
    <w:p>
      <w:pPr>
        <w:pStyle w:val="23"/>
        <w:numPr>
          <w:numId w:val="0"/>
        </w:numPr>
        <w:adjustRightInd w:val="0"/>
        <w:snapToGrid w:val="0"/>
        <w:spacing w:before="93" w:line="600" w:lineRule="exact"/>
        <w:ind w:firstLine="640" w:firstLineChars="200"/>
        <w:rPr>
          <w:rFonts w:ascii="黑体" w:hAnsi="宋体" w:eastAsia="黑体"/>
          <w:sz w:val="32"/>
          <w:szCs w:val="32"/>
        </w:rPr>
      </w:pPr>
      <w:r>
        <w:rPr>
          <w:rFonts w:hint="eastAsia" w:ascii="黑体" w:hAnsi="宋体" w:eastAsia="黑体"/>
          <w:sz w:val="32"/>
          <w:szCs w:val="32"/>
          <w:lang w:eastAsia="zh-CN"/>
        </w:rPr>
        <w:t>四、</w:t>
      </w:r>
      <w:r>
        <w:rPr>
          <w:rFonts w:hint="eastAsia" w:ascii="黑体" w:hAnsi="宋体" w:eastAsia="黑体"/>
          <w:sz w:val="32"/>
          <w:szCs w:val="32"/>
        </w:rPr>
        <w:t>问题及建议</w:t>
      </w:r>
    </w:p>
    <w:p>
      <w:pPr>
        <w:pStyle w:val="23"/>
        <w:numPr>
          <w:numId w:val="0"/>
        </w:numPr>
        <w:adjustRightInd w:val="0"/>
        <w:snapToGrid w:val="0"/>
        <w:spacing w:before="93" w:line="600" w:lineRule="exact"/>
        <w:ind w:left="640" w:leftChars="0"/>
        <w:rPr>
          <w:rFonts w:ascii="楷体_GB2312" w:hAnsi="宋体" w:eastAsia="楷体_GB2312"/>
          <w:b/>
          <w:sz w:val="32"/>
          <w:szCs w:val="32"/>
          <w:lang w:val="zh-CN"/>
        </w:rPr>
      </w:pPr>
      <w:r>
        <w:rPr>
          <w:rFonts w:hint="eastAsia" w:ascii="楷体_GB2312" w:hAnsi="宋体" w:eastAsia="楷体_GB2312"/>
          <w:b/>
          <w:sz w:val="32"/>
          <w:szCs w:val="32"/>
          <w:lang w:val="zh-CN"/>
        </w:rPr>
        <w:t>（一）存在的问题</w:t>
      </w:r>
    </w:p>
    <w:p>
      <w:pPr>
        <w:adjustRightInd w:val="0"/>
        <w:snapToGrid w:val="0"/>
        <w:spacing w:line="600" w:lineRule="exact"/>
        <w:ind w:left="640" w:leftChars="305" w:firstLine="160" w:firstLineChars="50"/>
        <w:rPr>
          <w:rFonts w:ascii="仿宋_GB2312" w:hAnsi="宋体" w:eastAsia="仿宋_GB2312"/>
          <w:sz w:val="32"/>
          <w:szCs w:val="32"/>
          <w:lang w:val="zh-CN"/>
        </w:rPr>
      </w:pPr>
      <w:r>
        <w:rPr>
          <w:rFonts w:hint="eastAsia" w:ascii="仿宋_GB2312" w:hAnsi="宋体" w:eastAsia="仿宋_GB2312"/>
          <w:sz w:val="32"/>
          <w:szCs w:val="32"/>
          <w:lang w:val="zh-CN"/>
        </w:rPr>
        <w:t>无。</w:t>
      </w:r>
    </w:p>
    <w:p>
      <w:pPr>
        <w:pStyle w:val="23"/>
        <w:numPr>
          <w:numId w:val="0"/>
        </w:numPr>
        <w:adjustRightInd w:val="0"/>
        <w:snapToGrid w:val="0"/>
        <w:spacing w:before="93" w:line="600" w:lineRule="exact"/>
        <w:ind w:left="640" w:leftChars="0"/>
        <w:rPr>
          <w:rFonts w:ascii="楷体_GB2312" w:hAnsi="宋体" w:eastAsia="楷体_GB2312"/>
          <w:b/>
          <w:sz w:val="32"/>
          <w:szCs w:val="32"/>
          <w:lang w:val="zh-CN"/>
        </w:rPr>
      </w:pPr>
      <w:r>
        <w:rPr>
          <w:rFonts w:hint="eastAsia" w:ascii="楷体_GB2312" w:hAnsi="宋体" w:eastAsia="楷体_GB2312"/>
          <w:b/>
          <w:sz w:val="32"/>
          <w:szCs w:val="32"/>
          <w:lang w:val="zh-CN"/>
        </w:rPr>
        <w:t>（二）相关建议</w:t>
      </w:r>
    </w:p>
    <w:p>
      <w:pPr>
        <w:adjustRightInd w:val="0"/>
        <w:snapToGrid w:val="0"/>
        <w:spacing w:line="600" w:lineRule="exact"/>
        <w:ind w:left="640" w:leftChars="305" w:firstLine="160" w:firstLineChars="50"/>
        <w:rPr>
          <w:rFonts w:ascii="仿宋_GB2312" w:hAnsi="宋体" w:eastAsia="仿宋_GB2312"/>
          <w:sz w:val="32"/>
          <w:szCs w:val="32"/>
          <w:lang w:val="zh-CN"/>
        </w:rPr>
      </w:pPr>
      <w:r>
        <w:rPr>
          <w:rFonts w:hint="eastAsia" w:ascii="仿宋_GB2312" w:hAnsi="宋体" w:eastAsia="仿宋_GB2312"/>
          <w:sz w:val="32"/>
          <w:szCs w:val="32"/>
          <w:lang w:val="zh-CN"/>
        </w:rPr>
        <w:t>无。</w:t>
      </w:r>
    </w:p>
    <w:p>
      <w:pPr>
        <w:spacing w:line="580" w:lineRule="exact"/>
        <w:ind w:firstLine="640"/>
        <w:rPr>
          <w:rFonts w:ascii="仿宋_GB2312" w:hAnsi="仿宋_GB2312" w:eastAsia="仿宋_GB2312" w:cs="仿宋_GB2312"/>
          <w:sz w:val="3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离退休人员报刊经费</w:t>
      </w:r>
      <w:r>
        <w:rPr>
          <w:rFonts w:hint="eastAsia" w:ascii="方正小标宋简体" w:hAnsi="宋体" w:eastAsia="方正小标宋简体"/>
          <w:color w:val="000000"/>
          <w:kern w:val="0"/>
          <w:sz w:val="44"/>
          <w:szCs w:val="44"/>
          <w:lang w:val="zh-CN"/>
        </w:rPr>
        <w:t>项目</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2019年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hAns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为促进离退休人员的学习，于年初申报离退休人员报刊经费0.03万元。县财政局于2019年1月将财政预算资金0.03万元拨付到位。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该项目经费主要用于当年的离退休人员报刊征订。</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（三）项目资金申报相符性。</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该项目申报内容与具体实施内容相符、申报目标合理可行。</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二、项目实施及管理情况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（一）资金计划、到位及使用情况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该项目资金准时足额到位，全部用于离退休人员报刊征订支出。</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该项目资金管理严格执行财务管理制度、财务处理及时、会计核算规范。</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（三）项目组织实施情况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该项目由办公室组织实施。</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三、项目绩效情况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2019年完成离退休人员的报刊征订工作。</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该项目满足2019年石棉县人民检察院离退休人员的报刊阅读。</w:t>
      </w:r>
    </w:p>
    <w:p>
      <w:pPr>
        <w:pStyle w:val="23"/>
        <w:numPr>
          <w:numId w:val="0"/>
        </w:numPr>
        <w:adjustRightInd w:val="0"/>
        <w:snapToGrid w:val="0"/>
        <w:spacing w:before="93" w:line="600" w:lineRule="exact"/>
        <w:ind w:left="640" w:leftChars="0"/>
        <w:rPr>
          <w:rFonts w:ascii="黑体" w:hAnsi="宋体" w:eastAsia="黑体"/>
          <w:sz w:val="32"/>
          <w:szCs w:val="32"/>
        </w:rPr>
      </w:pPr>
      <w:r>
        <w:rPr>
          <w:rFonts w:hint="eastAsia" w:ascii="黑体" w:hAnsi="宋体" w:eastAsia="黑体"/>
          <w:sz w:val="32"/>
          <w:szCs w:val="32"/>
          <w:lang w:eastAsia="zh-CN"/>
        </w:rPr>
        <w:t>四、</w:t>
      </w:r>
      <w:r>
        <w:rPr>
          <w:rFonts w:hint="eastAsia" w:ascii="黑体" w:hAnsi="宋体" w:eastAsia="黑体"/>
          <w:sz w:val="32"/>
          <w:szCs w:val="32"/>
        </w:rPr>
        <w:t>问题及建议</w:t>
      </w:r>
    </w:p>
    <w:p>
      <w:pPr>
        <w:pStyle w:val="23"/>
        <w:numPr>
          <w:numId w:val="0"/>
        </w:numPr>
        <w:adjustRightInd w:val="0"/>
        <w:snapToGrid w:val="0"/>
        <w:spacing w:before="93" w:line="600" w:lineRule="exact"/>
        <w:ind w:left="640" w:leftChars="0"/>
        <w:rPr>
          <w:rFonts w:ascii="楷体_GB2312" w:hAnsi="宋体" w:eastAsia="楷体_GB2312"/>
          <w:b/>
          <w:sz w:val="32"/>
          <w:szCs w:val="32"/>
          <w:lang w:val="zh-CN"/>
        </w:rPr>
      </w:pPr>
      <w:r>
        <w:rPr>
          <w:rFonts w:hint="eastAsia" w:ascii="楷体_GB2312" w:hAnsi="宋体" w:eastAsia="楷体_GB2312"/>
          <w:b/>
          <w:sz w:val="32"/>
          <w:szCs w:val="32"/>
          <w:lang w:val="zh-CN"/>
        </w:rPr>
        <w:t>（一）存在的问题</w:t>
      </w:r>
    </w:p>
    <w:p>
      <w:pPr>
        <w:adjustRightInd w:val="0"/>
        <w:snapToGrid w:val="0"/>
        <w:spacing w:line="600" w:lineRule="exact"/>
        <w:ind w:left="640" w:leftChars="305" w:firstLine="160" w:firstLineChars="50"/>
        <w:rPr>
          <w:rFonts w:ascii="仿宋_GB2312" w:hAnsi="宋体" w:eastAsia="仿宋_GB2312"/>
          <w:sz w:val="32"/>
          <w:szCs w:val="32"/>
          <w:lang w:val="zh-CN"/>
        </w:rPr>
      </w:pPr>
      <w:r>
        <w:rPr>
          <w:rFonts w:hint="eastAsia" w:ascii="仿宋_GB2312" w:hAnsi="宋体" w:eastAsia="仿宋_GB2312"/>
          <w:sz w:val="32"/>
          <w:szCs w:val="32"/>
          <w:lang w:val="zh-CN"/>
        </w:rPr>
        <w:t>无。</w:t>
      </w:r>
    </w:p>
    <w:p>
      <w:pPr>
        <w:pStyle w:val="23"/>
        <w:numPr>
          <w:numId w:val="0"/>
        </w:numPr>
        <w:adjustRightInd w:val="0"/>
        <w:snapToGrid w:val="0"/>
        <w:spacing w:before="93" w:line="600" w:lineRule="exact"/>
        <w:ind w:left="640" w:leftChars="0"/>
        <w:rPr>
          <w:rFonts w:ascii="楷体_GB2312" w:hAnsi="宋体" w:eastAsia="楷体_GB2312"/>
          <w:b/>
          <w:sz w:val="32"/>
          <w:szCs w:val="32"/>
          <w:lang w:val="zh-CN"/>
        </w:rPr>
      </w:pPr>
      <w:r>
        <w:rPr>
          <w:rFonts w:hint="eastAsia" w:ascii="楷体_GB2312" w:hAnsi="宋体" w:eastAsia="楷体_GB2312"/>
          <w:b/>
          <w:sz w:val="32"/>
          <w:szCs w:val="32"/>
          <w:lang w:val="zh-CN"/>
        </w:rPr>
        <w:t>（二</w:t>
      </w:r>
      <w:bookmarkStart w:id="73" w:name="_GoBack"/>
      <w:bookmarkEnd w:id="73"/>
      <w:r>
        <w:rPr>
          <w:rFonts w:hint="eastAsia" w:ascii="楷体_GB2312" w:hAnsi="宋体" w:eastAsia="楷体_GB2312"/>
          <w:b/>
          <w:sz w:val="32"/>
          <w:szCs w:val="32"/>
          <w:lang w:val="zh-CN"/>
        </w:rPr>
        <w:t>）相关建议</w:t>
      </w:r>
    </w:p>
    <w:p>
      <w:pPr>
        <w:adjustRightInd w:val="0"/>
        <w:snapToGrid w:val="0"/>
        <w:spacing w:line="600" w:lineRule="exact"/>
        <w:ind w:left="640" w:leftChars="305" w:firstLine="160" w:firstLineChars="50"/>
        <w:rPr>
          <w:rFonts w:ascii="仿宋_GB2312" w:hAnsi="宋体" w:eastAsia="仿宋_GB2312"/>
          <w:sz w:val="32"/>
          <w:szCs w:val="32"/>
          <w:lang w:val="zh-CN"/>
        </w:rPr>
      </w:pPr>
      <w:r>
        <w:rPr>
          <w:rFonts w:hint="eastAsia" w:ascii="仿宋_GB2312" w:hAnsi="宋体" w:eastAsia="仿宋_GB2312"/>
          <w:sz w:val="32"/>
          <w:szCs w:val="32"/>
          <w:lang w:val="zh-CN"/>
        </w:rPr>
        <w:t>无。</w:t>
      </w:r>
    </w:p>
    <w:p>
      <w:pPr>
        <w:spacing w:line="580" w:lineRule="exact"/>
        <w:ind w:firstLine="640"/>
        <w:rPr>
          <w:rFonts w:ascii="仿宋_GB2312" w:hAnsi="仿宋_GB2312" w:eastAsia="仿宋_GB2312" w:cs="仿宋_GB2312"/>
          <w:sz w:val="32"/>
          <w:szCs w:val="32"/>
        </w:rPr>
      </w:pPr>
    </w:p>
    <w:p>
      <w:pPr>
        <w:spacing w:line="580" w:lineRule="exact"/>
        <w:ind w:firstLine="640"/>
        <w:rPr>
          <w:rFonts w:ascii="仿宋_GB2312" w:hAnsi="仿宋_GB2312" w:eastAsia="仿宋_GB2312" w:cs="仿宋_GB2312"/>
          <w:sz w:val="32"/>
          <w:szCs w:val="32"/>
        </w:rPr>
      </w:pPr>
    </w:p>
    <w:p>
      <w:pPr>
        <w:widowControl/>
        <w:jc w:val="left"/>
        <w:rPr>
          <w:rStyle w:val="24"/>
          <w:rFonts w:ascii="黑体" w:hAnsi="黑体" w:eastAsia="黑体"/>
          <w:b w:val="0"/>
        </w:rPr>
      </w:pPr>
    </w:p>
    <w:p>
      <w:pPr>
        <w:widowControl/>
        <w:jc w:val="left"/>
        <w:rPr>
          <w:rStyle w:val="24"/>
          <w:rFonts w:ascii="黑体" w:hAnsi="黑体" w:eastAsia="黑体"/>
          <w:b w:val="0"/>
        </w:rPr>
      </w:pPr>
      <w:r>
        <w:rPr>
          <w:rStyle w:val="24"/>
          <w:rFonts w:ascii="黑体" w:hAnsi="黑体" w:eastAsia="黑体"/>
          <w:b w:val="0"/>
        </w:rPr>
        <w:br w:type="page"/>
      </w:r>
    </w:p>
    <w:p>
      <w:pPr>
        <w:spacing w:line="600" w:lineRule="exact"/>
        <w:jc w:val="center"/>
        <w:outlineLvl w:val="0"/>
        <w:rPr>
          <w:rStyle w:val="24"/>
          <w:rFonts w:ascii="黑体" w:hAnsi="黑体" w:eastAsia="黑体"/>
          <w:b w:val="0"/>
        </w:rPr>
      </w:pPr>
    </w:p>
    <w:p>
      <w:pPr>
        <w:spacing w:line="600" w:lineRule="exact"/>
        <w:jc w:val="center"/>
        <w:outlineLvl w:val="0"/>
        <w:rPr>
          <w:rStyle w:val="24"/>
          <w:rFonts w:ascii="黑体" w:hAnsi="黑体" w:eastAsia="黑体"/>
          <w:b w:val="0"/>
        </w:rPr>
      </w:pPr>
      <w:bookmarkStart w:id="59" w:name="_Toc15396618"/>
      <w:r>
        <w:rPr>
          <w:rFonts w:hint="eastAsia" w:ascii="黑体" w:hAnsi="黑体" w:eastAsia="黑体"/>
          <w:color w:val="000000"/>
          <w:sz w:val="44"/>
          <w:szCs w:val="44"/>
        </w:rPr>
        <w:t>第</w:t>
      </w:r>
      <w:r>
        <w:rPr>
          <w:rStyle w:val="24"/>
          <w:rFonts w:hint="eastAsia" w:ascii="黑体" w:hAnsi="黑体" w:eastAsia="黑体"/>
          <w:b w:val="0"/>
        </w:rPr>
        <w:t>五部分 附表</w:t>
      </w:r>
      <w:bookmarkEnd w:id="57"/>
      <w:bookmarkEnd w:id="59"/>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0" w:name="_Toc15396619"/>
      <w:r>
        <w:rPr>
          <w:rFonts w:hint="eastAsia" w:ascii="仿宋" w:hAnsi="仿宋" w:eastAsia="仿宋"/>
          <w:b w:val="0"/>
          <w:color w:val="000000"/>
        </w:rPr>
        <w:t>一、收</w:t>
      </w:r>
      <w:r>
        <w:rPr>
          <w:rStyle w:val="25"/>
          <w:rFonts w:hint="eastAsia" w:ascii="仿宋" w:hAnsi="仿宋" w:eastAsia="仿宋"/>
          <w:b w:val="0"/>
          <w:bCs w:val="0"/>
        </w:rPr>
        <w:t>入支出决算总表</w:t>
      </w:r>
      <w:bookmarkEnd w:id="60"/>
    </w:p>
    <w:p>
      <w:pPr>
        <w:pStyle w:val="3"/>
        <w:rPr>
          <w:rFonts w:ascii="仿宋" w:hAnsi="仿宋" w:eastAsia="仿宋"/>
          <w:color w:val="000000"/>
        </w:rPr>
      </w:pPr>
      <w:bookmarkStart w:id="61" w:name="_Toc15396620"/>
      <w:r>
        <w:rPr>
          <w:rFonts w:hint="eastAsia" w:ascii="仿宋" w:hAnsi="仿宋" w:eastAsia="仿宋"/>
          <w:b w:val="0"/>
          <w:color w:val="000000"/>
        </w:rPr>
        <w:t>二、收</w:t>
      </w:r>
      <w:r>
        <w:rPr>
          <w:rStyle w:val="25"/>
          <w:rFonts w:hint="eastAsia" w:ascii="仿宋" w:hAnsi="仿宋" w:eastAsia="仿宋"/>
          <w:b w:val="0"/>
          <w:bCs w:val="0"/>
        </w:rPr>
        <w:t>入决算表</w:t>
      </w:r>
      <w:bookmarkEnd w:id="61"/>
    </w:p>
    <w:p>
      <w:pPr>
        <w:pStyle w:val="3"/>
        <w:rPr>
          <w:rFonts w:ascii="仿宋" w:hAnsi="仿宋" w:eastAsia="仿宋"/>
          <w:color w:val="000000"/>
        </w:rPr>
      </w:pPr>
      <w:bookmarkStart w:id="62" w:name="_Toc15396621"/>
      <w:r>
        <w:rPr>
          <w:rStyle w:val="25"/>
          <w:rFonts w:hint="eastAsia" w:ascii="仿宋" w:hAnsi="仿宋" w:eastAsia="仿宋"/>
          <w:b w:val="0"/>
          <w:bCs w:val="0"/>
        </w:rPr>
        <w:t>三、</w:t>
      </w:r>
      <w:r>
        <w:rPr>
          <w:rFonts w:hint="eastAsia" w:ascii="仿宋" w:hAnsi="仿宋" w:eastAsia="仿宋"/>
          <w:b w:val="0"/>
          <w:color w:val="000000"/>
        </w:rPr>
        <w:t>支</w:t>
      </w:r>
      <w:r>
        <w:rPr>
          <w:rStyle w:val="25"/>
          <w:rFonts w:hint="eastAsia" w:ascii="仿宋" w:hAnsi="仿宋" w:eastAsia="仿宋"/>
          <w:b w:val="0"/>
          <w:bCs w:val="0"/>
        </w:rPr>
        <w:t>出决算表</w:t>
      </w:r>
      <w:bookmarkEnd w:id="62"/>
    </w:p>
    <w:p>
      <w:pPr>
        <w:pStyle w:val="3"/>
        <w:rPr>
          <w:rFonts w:ascii="仿宋" w:hAnsi="仿宋" w:eastAsia="仿宋"/>
          <w:b w:val="0"/>
          <w:color w:val="000000"/>
        </w:rPr>
      </w:pPr>
      <w:bookmarkStart w:id="63" w:name="_Toc15396622"/>
      <w:r>
        <w:rPr>
          <w:rStyle w:val="25"/>
          <w:rFonts w:hint="eastAsia" w:ascii="仿宋" w:hAnsi="仿宋" w:eastAsia="仿宋"/>
          <w:b w:val="0"/>
          <w:bCs w:val="0"/>
        </w:rPr>
        <w:t>四、</w:t>
      </w:r>
      <w:r>
        <w:rPr>
          <w:rFonts w:hint="eastAsia" w:ascii="仿宋" w:hAnsi="仿宋" w:eastAsia="仿宋"/>
          <w:b w:val="0"/>
          <w:color w:val="000000"/>
        </w:rPr>
        <w:t>财</w:t>
      </w:r>
      <w:r>
        <w:rPr>
          <w:rStyle w:val="25"/>
          <w:rFonts w:hint="eastAsia" w:ascii="仿宋" w:hAnsi="仿宋" w:eastAsia="仿宋"/>
          <w:b w:val="0"/>
          <w:bCs w:val="0"/>
        </w:rPr>
        <w:t>政拨款收入支出决算总表</w:t>
      </w:r>
      <w:bookmarkEnd w:id="63"/>
    </w:p>
    <w:p>
      <w:pPr>
        <w:pStyle w:val="3"/>
        <w:rPr>
          <w:rStyle w:val="25"/>
          <w:rFonts w:ascii="仿宋" w:hAnsi="仿宋" w:eastAsia="仿宋"/>
          <w:b w:val="0"/>
          <w:bCs w:val="0"/>
        </w:rPr>
      </w:pPr>
      <w:bookmarkStart w:id="64" w:name="_Toc15396623"/>
      <w:r>
        <w:rPr>
          <w:rStyle w:val="25"/>
          <w:rFonts w:hint="eastAsia" w:ascii="仿宋" w:hAnsi="仿宋" w:eastAsia="仿宋"/>
          <w:b w:val="0"/>
          <w:bCs w:val="0"/>
        </w:rPr>
        <w:t>五、</w:t>
      </w:r>
      <w:r>
        <w:rPr>
          <w:rFonts w:hint="eastAsia" w:ascii="仿宋" w:hAnsi="仿宋" w:eastAsia="仿宋"/>
          <w:b w:val="0"/>
          <w:color w:val="000000"/>
        </w:rPr>
        <w:t>财</w:t>
      </w:r>
      <w:r>
        <w:rPr>
          <w:rStyle w:val="25"/>
          <w:rFonts w:hint="eastAsia" w:ascii="仿宋" w:hAnsi="仿宋" w:eastAsia="仿宋"/>
          <w:b w:val="0"/>
          <w:bCs w:val="0"/>
        </w:rPr>
        <w:t>政拨款支出决算明细表</w:t>
      </w:r>
      <w:bookmarkEnd w:id="64"/>
      <w:bookmarkStart w:id="65" w:name="_Toc15396624"/>
    </w:p>
    <w:p>
      <w:pPr>
        <w:pStyle w:val="3"/>
        <w:rPr>
          <w:rFonts w:ascii="仿宋" w:hAnsi="仿宋" w:eastAsia="仿宋"/>
          <w:color w:val="000000"/>
        </w:rPr>
      </w:pPr>
      <w:r>
        <w:rPr>
          <w:rStyle w:val="25"/>
          <w:rFonts w:hint="eastAsia" w:ascii="仿宋" w:hAnsi="仿宋" w:eastAsia="仿宋"/>
          <w:b w:val="0"/>
          <w:bCs w:val="0"/>
        </w:rPr>
        <w:t>六、</w:t>
      </w:r>
      <w:r>
        <w:rPr>
          <w:rFonts w:hint="eastAsia" w:ascii="仿宋" w:hAnsi="仿宋" w:eastAsia="仿宋"/>
          <w:b w:val="0"/>
          <w:color w:val="000000"/>
        </w:rPr>
        <w:t>一</w:t>
      </w:r>
      <w:r>
        <w:rPr>
          <w:rStyle w:val="25"/>
          <w:rFonts w:hint="eastAsia" w:ascii="仿宋" w:hAnsi="仿宋" w:eastAsia="仿宋"/>
          <w:b w:val="0"/>
          <w:bCs w:val="0"/>
        </w:rPr>
        <w:t>般公共预算财政拨款支出决算表</w:t>
      </w:r>
      <w:bookmarkEnd w:id="65"/>
    </w:p>
    <w:p>
      <w:pPr>
        <w:pStyle w:val="3"/>
        <w:rPr>
          <w:rFonts w:ascii="仿宋" w:hAnsi="仿宋" w:eastAsia="仿宋"/>
          <w:color w:val="000000"/>
        </w:rPr>
      </w:pPr>
      <w:bookmarkStart w:id="66" w:name="_Toc15396625"/>
      <w:r>
        <w:rPr>
          <w:rStyle w:val="25"/>
          <w:rFonts w:hint="eastAsia" w:ascii="仿宋" w:hAnsi="仿宋" w:eastAsia="仿宋"/>
          <w:b w:val="0"/>
          <w:bCs w:val="0"/>
        </w:rPr>
        <w:t>七、</w:t>
      </w:r>
      <w:r>
        <w:rPr>
          <w:rFonts w:hint="eastAsia" w:ascii="仿宋" w:hAnsi="仿宋" w:eastAsia="仿宋"/>
          <w:b w:val="0"/>
          <w:color w:val="000000"/>
        </w:rPr>
        <w:t>一</w:t>
      </w:r>
      <w:r>
        <w:rPr>
          <w:rStyle w:val="25"/>
          <w:rFonts w:hint="eastAsia" w:ascii="仿宋" w:hAnsi="仿宋" w:eastAsia="仿宋"/>
          <w:b w:val="0"/>
          <w:bCs w:val="0"/>
        </w:rPr>
        <w:t>般公共预算财政拨款支出决算明细表</w:t>
      </w:r>
      <w:bookmarkEnd w:id="66"/>
    </w:p>
    <w:p>
      <w:pPr>
        <w:pStyle w:val="3"/>
        <w:rPr>
          <w:rFonts w:ascii="仿宋" w:hAnsi="仿宋" w:eastAsia="仿宋"/>
          <w:color w:val="000000"/>
        </w:rPr>
      </w:pPr>
      <w:bookmarkStart w:id="67" w:name="_Toc15396626"/>
      <w:r>
        <w:rPr>
          <w:rStyle w:val="25"/>
          <w:rFonts w:hint="eastAsia" w:ascii="仿宋" w:hAnsi="仿宋" w:eastAsia="仿宋"/>
          <w:b w:val="0"/>
          <w:bCs w:val="0"/>
        </w:rPr>
        <w:t>八、</w:t>
      </w:r>
      <w:r>
        <w:rPr>
          <w:rFonts w:hint="eastAsia" w:ascii="仿宋" w:hAnsi="仿宋" w:eastAsia="仿宋"/>
          <w:b w:val="0"/>
          <w:color w:val="000000"/>
        </w:rPr>
        <w:t>一</w:t>
      </w:r>
      <w:r>
        <w:rPr>
          <w:rStyle w:val="25"/>
          <w:rFonts w:hint="eastAsia" w:ascii="仿宋" w:hAnsi="仿宋" w:eastAsia="仿宋"/>
          <w:b w:val="0"/>
          <w:bCs w:val="0"/>
        </w:rPr>
        <w:t>般公共预算财政拨款基本支出决算表</w:t>
      </w:r>
      <w:bookmarkEnd w:id="67"/>
    </w:p>
    <w:p>
      <w:pPr>
        <w:pStyle w:val="3"/>
        <w:rPr>
          <w:rFonts w:ascii="仿宋" w:hAnsi="仿宋" w:eastAsia="仿宋"/>
          <w:color w:val="000000"/>
        </w:rPr>
      </w:pPr>
      <w:bookmarkStart w:id="68" w:name="_Toc15396627"/>
      <w:r>
        <w:rPr>
          <w:rStyle w:val="25"/>
          <w:rFonts w:hint="eastAsia" w:ascii="仿宋" w:hAnsi="仿宋" w:eastAsia="仿宋"/>
          <w:b w:val="0"/>
          <w:bCs w:val="0"/>
        </w:rPr>
        <w:t>九、</w:t>
      </w:r>
      <w:r>
        <w:rPr>
          <w:rFonts w:hint="eastAsia" w:ascii="仿宋" w:hAnsi="仿宋" w:eastAsia="仿宋"/>
          <w:b w:val="0"/>
          <w:color w:val="000000"/>
        </w:rPr>
        <w:t>一</w:t>
      </w:r>
      <w:r>
        <w:rPr>
          <w:rStyle w:val="25"/>
          <w:rFonts w:hint="eastAsia" w:ascii="仿宋" w:hAnsi="仿宋" w:eastAsia="仿宋"/>
          <w:b w:val="0"/>
          <w:bCs w:val="0"/>
        </w:rPr>
        <w:t>般公共预算财政拨款项目支出决算表</w:t>
      </w:r>
      <w:bookmarkEnd w:id="68"/>
    </w:p>
    <w:p>
      <w:pPr>
        <w:pStyle w:val="3"/>
        <w:rPr>
          <w:rFonts w:ascii="仿宋" w:hAnsi="仿宋" w:eastAsia="仿宋"/>
          <w:color w:val="000000"/>
        </w:rPr>
      </w:pPr>
      <w:bookmarkStart w:id="69" w:name="_Toc15396628"/>
      <w:r>
        <w:rPr>
          <w:rStyle w:val="25"/>
          <w:rFonts w:hint="eastAsia" w:ascii="仿宋" w:hAnsi="仿宋" w:eastAsia="仿宋"/>
          <w:b w:val="0"/>
          <w:bCs w:val="0"/>
        </w:rPr>
        <w:t>十、</w:t>
      </w:r>
      <w:r>
        <w:rPr>
          <w:rFonts w:hint="eastAsia" w:ascii="仿宋" w:hAnsi="仿宋" w:eastAsia="仿宋"/>
          <w:b w:val="0"/>
          <w:color w:val="000000"/>
        </w:rPr>
        <w:t>一</w:t>
      </w:r>
      <w:r>
        <w:rPr>
          <w:rStyle w:val="25"/>
          <w:rFonts w:hint="eastAsia" w:ascii="仿宋" w:hAnsi="仿宋" w:eastAsia="仿宋"/>
          <w:b w:val="0"/>
          <w:bCs w:val="0"/>
        </w:rPr>
        <w:t>般公共预算财政拨款“三公”经费支出决算表</w:t>
      </w:r>
      <w:bookmarkEnd w:id="69"/>
    </w:p>
    <w:p>
      <w:pPr>
        <w:pStyle w:val="3"/>
        <w:rPr>
          <w:rFonts w:ascii="仿宋" w:hAnsi="仿宋" w:eastAsia="仿宋"/>
          <w:color w:val="000000"/>
        </w:rPr>
      </w:pPr>
      <w:bookmarkStart w:id="70" w:name="_Toc15396629"/>
      <w:r>
        <w:rPr>
          <w:rStyle w:val="25"/>
          <w:rFonts w:hint="eastAsia" w:ascii="仿宋" w:hAnsi="仿宋" w:eastAsia="仿宋"/>
          <w:b w:val="0"/>
          <w:bCs w:val="0"/>
        </w:rPr>
        <w:t>十一、</w:t>
      </w:r>
      <w:r>
        <w:rPr>
          <w:rFonts w:hint="eastAsia" w:ascii="仿宋" w:hAnsi="仿宋" w:eastAsia="仿宋"/>
          <w:b w:val="0"/>
          <w:color w:val="000000"/>
        </w:rPr>
        <w:t>政</w:t>
      </w:r>
      <w:r>
        <w:rPr>
          <w:rStyle w:val="25"/>
          <w:rFonts w:hint="eastAsia" w:ascii="仿宋" w:hAnsi="仿宋" w:eastAsia="仿宋"/>
          <w:b w:val="0"/>
          <w:bCs w:val="0"/>
        </w:rPr>
        <w:t>府性基金预算财政拨款收入支出决算表</w:t>
      </w:r>
      <w:bookmarkEnd w:id="70"/>
    </w:p>
    <w:p>
      <w:pPr>
        <w:pStyle w:val="3"/>
        <w:rPr>
          <w:rFonts w:ascii="仿宋" w:hAnsi="仿宋" w:eastAsia="仿宋"/>
          <w:color w:val="000000"/>
        </w:rPr>
      </w:pPr>
      <w:bookmarkStart w:id="71" w:name="_Toc15396630"/>
      <w:r>
        <w:rPr>
          <w:rStyle w:val="25"/>
          <w:rFonts w:hint="eastAsia" w:ascii="仿宋" w:hAnsi="仿宋" w:eastAsia="仿宋"/>
          <w:b w:val="0"/>
          <w:bCs w:val="0"/>
        </w:rPr>
        <w:t>十二、</w:t>
      </w:r>
      <w:r>
        <w:rPr>
          <w:rFonts w:hint="eastAsia" w:ascii="仿宋" w:hAnsi="仿宋" w:eastAsia="仿宋"/>
          <w:b w:val="0"/>
          <w:color w:val="000000"/>
        </w:rPr>
        <w:t>政</w:t>
      </w:r>
      <w:r>
        <w:rPr>
          <w:rStyle w:val="25"/>
          <w:rFonts w:hint="eastAsia" w:ascii="仿宋" w:hAnsi="仿宋" w:eastAsia="仿宋"/>
          <w:b w:val="0"/>
          <w:bCs w:val="0"/>
        </w:rPr>
        <w:t>府性基金预算财政拨款“三公”经费支出决算表</w:t>
      </w:r>
      <w:bookmarkEnd w:id="71"/>
    </w:p>
    <w:p>
      <w:pPr>
        <w:pStyle w:val="3"/>
        <w:rPr>
          <w:rFonts w:ascii="仿宋" w:hAnsi="仿宋" w:eastAsia="仿宋"/>
          <w:color w:val="000000" w:themeColor="text1"/>
        </w:rPr>
      </w:pPr>
      <w:bookmarkStart w:id="72" w:name="_Toc15396631"/>
      <w:r>
        <w:rPr>
          <w:rStyle w:val="25"/>
          <w:rFonts w:hint="eastAsia" w:ascii="仿宋" w:hAnsi="仿宋" w:eastAsia="仿宋"/>
          <w:b w:val="0"/>
          <w:bCs w:val="0"/>
        </w:rPr>
        <w:t>十三、</w:t>
      </w:r>
      <w:r>
        <w:rPr>
          <w:rFonts w:hint="eastAsia" w:ascii="仿宋" w:hAnsi="仿宋" w:eastAsia="仿宋"/>
          <w:b w:val="0"/>
          <w:color w:val="000000"/>
        </w:rPr>
        <w:t>国</w:t>
      </w:r>
      <w:r>
        <w:rPr>
          <w:rStyle w:val="25"/>
          <w:rFonts w:hint="eastAsia" w:ascii="仿宋" w:hAnsi="仿宋" w:eastAsia="仿宋"/>
          <w:b w:val="0"/>
          <w:bCs w:val="0"/>
        </w:rPr>
        <w:t>有资本经营预算支出决算表</w:t>
      </w:r>
      <w:bookmarkEnd w:id="72"/>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6CC49BD"/>
    <w:multiLevelType w:val="multilevel"/>
    <w:tmpl w:val="76CC49BD"/>
    <w:lvl w:ilvl="0" w:tentative="0">
      <w:start w:val="1"/>
      <w:numFmt w:val="japaneseCounting"/>
      <w:lvlText w:val="（%1）"/>
      <w:lvlJc w:val="left"/>
      <w:pPr>
        <w:ind w:left="1645" w:hanging="100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361C"/>
    <w:rsid w:val="0001512B"/>
    <w:rsid w:val="000222C6"/>
    <w:rsid w:val="0002549F"/>
    <w:rsid w:val="00026866"/>
    <w:rsid w:val="000468DB"/>
    <w:rsid w:val="00047179"/>
    <w:rsid w:val="000647B4"/>
    <w:rsid w:val="0006487A"/>
    <w:rsid w:val="00065F8F"/>
    <w:rsid w:val="00070A43"/>
    <w:rsid w:val="000768F2"/>
    <w:rsid w:val="00090163"/>
    <w:rsid w:val="0009184B"/>
    <w:rsid w:val="000941B5"/>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0F06BF"/>
    <w:rsid w:val="001025FD"/>
    <w:rsid w:val="00114E9B"/>
    <w:rsid w:val="00133B0F"/>
    <w:rsid w:val="00142216"/>
    <w:rsid w:val="00144D6A"/>
    <w:rsid w:val="0014729F"/>
    <w:rsid w:val="00157BAB"/>
    <w:rsid w:val="001654D1"/>
    <w:rsid w:val="00173B04"/>
    <w:rsid w:val="00174518"/>
    <w:rsid w:val="0018106D"/>
    <w:rsid w:val="001863D8"/>
    <w:rsid w:val="001877A7"/>
    <w:rsid w:val="00191536"/>
    <w:rsid w:val="00196687"/>
    <w:rsid w:val="00197A49"/>
    <w:rsid w:val="001B02FA"/>
    <w:rsid w:val="001C0962"/>
    <w:rsid w:val="001C5D00"/>
    <w:rsid w:val="001D7531"/>
    <w:rsid w:val="001D7D0D"/>
    <w:rsid w:val="001E737D"/>
    <w:rsid w:val="001F0592"/>
    <w:rsid w:val="001F5B7B"/>
    <w:rsid w:val="001F7506"/>
    <w:rsid w:val="002006CD"/>
    <w:rsid w:val="00200B4A"/>
    <w:rsid w:val="00202B36"/>
    <w:rsid w:val="00204B7A"/>
    <w:rsid w:val="00204CDE"/>
    <w:rsid w:val="0021101A"/>
    <w:rsid w:val="00212BFB"/>
    <w:rsid w:val="00220536"/>
    <w:rsid w:val="002209F9"/>
    <w:rsid w:val="0022315D"/>
    <w:rsid w:val="00235629"/>
    <w:rsid w:val="00235A96"/>
    <w:rsid w:val="00252F47"/>
    <w:rsid w:val="00256523"/>
    <w:rsid w:val="00260C38"/>
    <w:rsid w:val="002616C0"/>
    <w:rsid w:val="00265372"/>
    <w:rsid w:val="002662AA"/>
    <w:rsid w:val="00280496"/>
    <w:rsid w:val="00294DC9"/>
    <w:rsid w:val="00295495"/>
    <w:rsid w:val="0029668D"/>
    <w:rsid w:val="002A31DE"/>
    <w:rsid w:val="002B2613"/>
    <w:rsid w:val="002D19B0"/>
    <w:rsid w:val="002D6D05"/>
    <w:rsid w:val="002F1818"/>
    <w:rsid w:val="002F567B"/>
    <w:rsid w:val="00306C5E"/>
    <w:rsid w:val="003216A9"/>
    <w:rsid w:val="00335A74"/>
    <w:rsid w:val="003614D6"/>
    <w:rsid w:val="0036316C"/>
    <w:rsid w:val="003639A6"/>
    <w:rsid w:val="0036561B"/>
    <w:rsid w:val="0037013F"/>
    <w:rsid w:val="0037248A"/>
    <w:rsid w:val="00380C92"/>
    <w:rsid w:val="003830DE"/>
    <w:rsid w:val="003A484F"/>
    <w:rsid w:val="003A4883"/>
    <w:rsid w:val="003A73E4"/>
    <w:rsid w:val="003B0BE0"/>
    <w:rsid w:val="003B0C1B"/>
    <w:rsid w:val="003B446A"/>
    <w:rsid w:val="003B688C"/>
    <w:rsid w:val="003C0291"/>
    <w:rsid w:val="003C327C"/>
    <w:rsid w:val="003C39AE"/>
    <w:rsid w:val="003C62BA"/>
    <w:rsid w:val="003C7B60"/>
    <w:rsid w:val="003D0C0F"/>
    <w:rsid w:val="003D1FB2"/>
    <w:rsid w:val="003D66DA"/>
    <w:rsid w:val="003E1310"/>
    <w:rsid w:val="003E6F55"/>
    <w:rsid w:val="00406254"/>
    <w:rsid w:val="00416CD4"/>
    <w:rsid w:val="004223DE"/>
    <w:rsid w:val="00434489"/>
    <w:rsid w:val="00437085"/>
    <w:rsid w:val="00443880"/>
    <w:rsid w:val="004464F4"/>
    <w:rsid w:val="004628D3"/>
    <w:rsid w:val="00471401"/>
    <w:rsid w:val="00473F31"/>
    <w:rsid w:val="0048263A"/>
    <w:rsid w:val="004853CB"/>
    <w:rsid w:val="00487D1A"/>
    <w:rsid w:val="00487E5D"/>
    <w:rsid w:val="004A711F"/>
    <w:rsid w:val="004B199D"/>
    <w:rsid w:val="004B4690"/>
    <w:rsid w:val="004B571B"/>
    <w:rsid w:val="004D055F"/>
    <w:rsid w:val="004E0A2D"/>
    <w:rsid w:val="004E206B"/>
    <w:rsid w:val="004E6DF7"/>
    <w:rsid w:val="004F0FBD"/>
    <w:rsid w:val="004F403E"/>
    <w:rsid w:val="00505A47"/>
    <w:rsid w:val="00512FDA"/>
    <w:rsid w:val="00513795"/>
    <w:rsid w:val="00520DA0"/>
    <w:rsid w:val="00525E31"/>
    <w:rsid w:val="005664BB"/>
    <w:rsid w:val="00566FFA"/>
    <w:rsid w:val="0057481D"/>
    <w:rsid w:val="00575F0B"/>
    <w:rsid w:val="0058420B"/>
    <w:rsid w:val="0058486E"/>
    <w:rsid w:val="00585B33"/>
    <w:rsid w:val="0059014D"/>
    <w:rsid w:val="005B5C64"/>
    <w:rsid w:val="005C6BD0"/>
    <w:rsid w:val="005C6C4C"/>
    <w:rsid w:val="005D1C8B"/>
    <w:rsid w:val="005D2091"/>
    <w:rsid w:val="005D468D"/>
    <w:rsid w:val="005D5CED"/>
    <w:rsid w:val="005E51D0"/>
    <w:rsid w:val="005F1A4C"/>
    <w:rsid w:val="00605029"/>
    <w:rsid w:val="00605688"/>
    <w:rsid w:val="006070AF"/>
    <w:rsid w:val="00607E6C"/>
    <w:rsid w:val="006101B1"/>
    <w:rsid w:val="00614E44"/>
    <w:rsid w:val="0062270A"/>
    <w:rsid w:val="00622830"/>
    <w:rsid w:val="00623DA0"/>
    <w:rsid w:val="00630AEF"/>
    <w:rsid w:val="006325F8"/>
    <w:rsid w:val="00633463"/>
    <w:rsid w:val="00634C9A"/>
    <w:rsid w:val="006366EF"/>
    <w:rsid w:val="006440E4"/>
    <w:rsid w:val="0066343B"/>
    <w:rsid w:val="00664777"/>
    <w:rsid w:val="006748A4"/>
    <w:rsid w:val="00681A31"/>
    <w:rsid w:val="00683E73"/>
    <w:rsid w:val="0069460F"/>
    <w:rsid w:val="006A3141"/>
    <w:rsid w:val="006A5E34"/>
    <w:rsid w:val="006B2422"/>
    <w:rsid w:val="006B2B9A"/>
    <w:rsid w:val="006C1937"/>
    <w:rsid w:val="006D0204"/>
    <w:rsid w:val="006E71D4"/>
    <w:rsid w:val="006F020C"/>
    <w:rsid w:val="007127B7"/>
    <w:rsid w:val="0071798E"/>
    <w:rsid w:val="00727533"/>
    <w:rsid w:val="007416B6"/>
    <w:rsid w:val="00746F48"/>
    <w:rsid w:val="0075404D"/>
    <w:rsid w:val="0076182A"/>
    <w:rsid w:val="00767B7E"/>
    <w:rsid w:val="00773470"/>
    <w:rsid w:val="007770C3"/>
    <w:rsid w:val="00784D24"/>
    <w:rsid w:val="00785FBA"/>
    <w:rsid w:val="00786E4A"/>
    <w:rsid w:val="007875EB"/>
    <w:rsid w:val="0079426B"/>
    <w:rsid w:val="007A55DC"/>
    <w:rsid w:val="007C0E11"/>
    <w:rsid w:val="007D1682"/>
    <w:rsid w:val="007D312A"/>
    <w:rsid w:val="007D3F19"/>
    <w:rsid w:val="007E23B0"/>
    <w:rsid w:val="007F1991"/>
    <w:rsid w:val="007F2C2F"/>
    <w:rsid w:val="007F55FC"/>
    <w:rsid w:val="007F5665"/>
    <w:rsid w:val="00800112"/>
    <w:rsid w:val="00813348"/>
    <w:rsid w:val="008253BB"/>
    <w:rsid w:val="00833962"/>
    <w:rsid w:val="0083706E"/>
    <w:rsid w:val="008408F6"/>
    <w:rsid w:val="008423A5"/>
    <w:rsid w:val="00850625"/>
    <w:rsid w:val="00853718"/>
    <w:rsid w:val="008545CE"/>
    <w:rsid w:val="00855221"/>
    <w:rsid w:val="00860645"/>
    <w:rsid w:val="0086378B"/>
    <w:rsid w:val="00870334"/>
    <w:rsid w:val="00871F71"/>
    <w:rsid w:val="00872FD8"/>
    <w:rsid w:val="00884F32"/>
    <w:rsid w:val="00885AF4"/>
    <w:rsid w:val="008939CD"/>
    <w:rsid w:val="008B6A43"/>
    <w:rsid w:val="008B768C"/>
    <w:rsid w:val="008C2F1E"/>
    <w:rsid w:val="008C4DB1"/>
    <w:rsid w:val="008C4EAF"/>
    <w:rsid w:val="008C5176"/>
    <w:rsid w:val="008C7FD0"/>
    <w:rsid w:val="008E1DE7"/>
    <w:rsid w:val="008E4F88"/>
    <w:rsid w:val="008E707C"/>
    <w:rsid w:val="008F0A08"/>
    <w:rsid w:val="00900B08"/>
    <w:rsid w:val="00902041"/>
    <w:rsid w:val="00902155"/>
    <w:rsid w:val="00902FA3"/>
    <w:rsid w:val="009203BD"/>
    <w:rsid w:val="00923564"/>
    <w:rsid w:val="0092392E"/>
    <w:rsid w:val="00924C8D"/>
    <w:rsid w:val="009315F9"/>
    <w:rsid w:val="00933499"/>
    <w:rsid w:val="00935C98"/>
    <w:rsid w:val="00942AE7"/>
    <w:rsid w:val="00945985"/>
    <w:rsid w:val="00946945"/>
    <w:rsid w:val="00951248"/>
    <w:rsid w:val="0095152F"/>
    <w:rsid w:val="00954C49"/>
    <w:rsid w:val="00955895"/>
    <w:rsid w:val="00955E37"/>
    <w:rsid w:val="0097099F"/>
    <w:rsid w:val="00971997"/>
    <w:rsid w:val="00971FFC"/>
    <w:rsid w:val="00973D5B"/>
    <w:rsid w:val="00977EA9"/>
    <w:rsid w:val="0098660A"/>
    <w:rsid w:val="009931C3"/>
    <w:rsid w:val="009B2C43"/>
    <w:rsid w:val="009B4EAE"/>
    <w:rsid w:val="009B7573"/>
    <w:rsid w:val="009C22F4"/>
    <w:rsid w:val="009C2E98"/>
    <w:rsid w:val="009C37FB"/>
    <w:rsid w:val="009D3447"/>
    <w:rsid w:val="009D41DD"/>
    <w:rsid w:val="009D4711"/>
    <w:rsid w:val="009E168F"/>
    <w:rsid w:val="009F1185"/>
    <w:rsid w:val="009F18CD"/>
    <w:rsid w:val="009F2A13"/>
    <w:rsid w:val="009F7527"/>
    <w:rsid w:val="009F78A3"/>
    <w:rsid w:val="00A039ED"/>
    <w:rsid w:val="00A04EB0"/>
    <w:rsid w:val="00A10FC3"/>
    <w:rsid w:val="00A13CC1"/>
    <w:rsid w:val="00A16847"/>
    <w:rsid w:val="00A237D8"/>
    <w:rsid w:val="00A268C4"/>
    <w:rsid w:val="00A307CD"/>
    <w:rsid w:val="00A331C8"/>
    <w:rsid w:val="00A35117"/>
    <w:rsid w:val="00A359B9"/>
    <w:rsid w:val="00A40A00"/>
    <w:rsid w:val="00A4142F"/>
    <w:rsid w:val="00A422EB"/>
    <w:rsid w:val="00A45BB7"/>
    <w:rsid w:val="00A56DF2"/>
    <w:rsid w:val="00A56E6E"/>
    <w:rsid w:val="00A57D63"/>
    <w:rsid w:val="00A645F3"/>
    <w:rsid w:val="00A67AB5"/>
    <w:rsid w:val="00A67C9D"/>
    <w:rsid w:val="00A733B2"/>
    <w:rsid w:val="00A741C2"/>
    <w:rsid w:val="00A91760"/>
    <w:rsid w:val="00A93B00"/>
    <w:rsid w:val="00A93C21"/>
    <w:rsid w:val="00AB206A"/>
    <w:rsid w:val="00AB64C9"/>
    <w:rsid w:val="00AB6797"/>
    <w:rsid w:val="00AC3C6A"/>
    <w:rsid w:val="00AD0F83"/>
    <w:rsid w:val="00AD5620"/>
    <w:rsid w:val="00AD656B"/>
    <w:rsid w:val="00AD6DDF"/>
    <w:rsid w:val="00AD7C1B"/>
    <w:rsid w:val="00AE16BA"/>
    <w:rsid w:val="00AE1EBE"/>
    <w:rsid w:val="00AE5AC7"/>
    <w:rsid w:val="00AE5F11"/>
    <w:rsid w:val="00AF3C87"/>
    <w:rsid w:val="00B03C9D"/>
    <w:rsid w:val="00B060AE"/>
    <w:rsid w:val="00B065D6"/>
    <w:rsid w:val="00B10517"/>
    <w:rsid w:val="00B14E76"/>
    <w:rsid w:val="00B159B4"/>
    <w:rsid w:val="00B161B8"/>
    <w:rsid w:val="00B2048C"/>
    <w:rsid w:val="00B310B9"/>
    <w:rsid w:val="00B35F3F"/>
    <w:rsid w:val="00B36CBB"/>
    <w:rsid w:val="00B425E0"/>
    <w:rsid w:val="00B440AA"/>
    <w:rsid w:val="00B44B70"/>
    <w:rsid w:val="00B5314A"/>
    <w:rsid w:val="00B53689"/>
    <w:rsid w:val="00B53A65"/>
    <w:rsid w:val="00B53C56"/>
    <w:rsid w:val="00B57DAF"/>
    <w:rsid w:val="00B57E36"/>
    <w:rsid w:val="00B64DFA"/>
    <w:rsid w:val="00B77EA6"/>
    <w:rsid w:val="00B81598"/>
    <w:rsid w:val="00B841F1"/>
    <w:rsid w:val="00B944D6"/>
    <w:rsid w:val="00BB4DF0"/>
    <w:rsid w:val="00BB6211"/>
    <w:rsid w:val="00BC289F"/>
    <w:rsid w:val="00BC2D50"/>
    <w:rsid w:val="00BC5361"/>
    <w:rsid w:val="00BC5460"/>
    <w:rsid w:val="00BC6B50"/>
    <w:rsid w:val="00BD0E25"/>
    <w:rsid w:val="00BF5BD6"/>
    <w:rsid w:val="00BF712A"/>
    <w:rsid w:val="00C01711"/>
    <w:rsid w:val="00C03E31"/>
    <w:rsid w:val="00C24531"/>
    <w:rsid w:val="00C27408"/>
    <w:rsid w:val="00C27BA0"/>
    <w:rsid w:val="00C30E69"/>
    <w:rsid w:val="00C33E72"/>
    <w:rsid w:val="00C354B2"/>
    <w:rsid w:val="00C35554"/>
    <w:rsid w:val="00C42709"/>
    <w:rsid w:val="00C533CC"/>
    <w:rsid w:val="00C53D79"/>
    <w:rsid w:val="00C5751C"/>
    <w:rsid w:val="00C61BFC"/>
    <w:rsid w:val="00C62B85"/>
    <w:rsid w:val="00C65438"/>
    <w:rsid w:val="00C674AE"/>
    <w:rsid w:val="00C91CBB"/>
    <w:rsid w:val="00CA2F07"/>
    <w:rsid w:val="00CB1410"/>
    <w:rsid w:val="00CB4E70"/>
    <w:rsid w:val="00CC09B6"/>
    <w:rsid w:val="00CC3C21"/>
    <w:rsid w:val="00CC666F"/>
    <w:rsid w:val="00CD1E3F"/>
    <w:rsid w:val="00CE1749"/>
    <w:rsid w:val="00CE44F6"/>
    <w:rsid w:val="00CE49DA"/>
    <w:rsid w:val="00CE7B61"/>
    <w:rsid w:val="00D00095"/>
    <w:rsid w:val="00D114F0"/>
    <w:rsid w:val="00D20620"/>
    <w:rsid w:val="00D25418"/>
    <w:rsid w:val="00D254F7"/>
    <w:rsid w:val="00D26091"/>
    <w:rsid w:val="00D2685C"/>
    <w:rsid w:val="00D27ED5"/>
    <w:rsid w:val="00D34E7C"/>
    <w:rsid w:val="00D35489"/>
    <w:rsid w:val="00D36AFE"/>
    <w:rsid w:val="00D51276"/>
    <w:rsid w:val="00D604DA"/>
    <w:rsid w:val="00D7035F"/>
    <w:rsid w:val="00D768ED"/>
    <w:rsid w:val="00DA3DDC"/>
    <w:rsid w:val="00DA634F"/>
    <w:rsid w:val="00DA65AC"/>
    <w:rsid w:val="00DB075E"/>
    <w:rsid w:val="00DB1913"/>
    <w:rsid w:val="00DC3A9B"/>
    <w:rsid w:val="00DC410D"/>
    <w:rsid w:val="00DC5A81"/>
    <w:rsid w:val="00DC68CA"/>
    <w:rsid w:val="00DC7CBA"/>
    <w:rsid w:val="00DD73B7"/>
    <w:rsid w:val="00DF28BC"/>
    <w:rsid w:val="00DF34B9"/>
    <w:rsid w:val="00DF5EF3"/>
    <w:rsid w:val="00E01053"/>
    <w:rsid w:val="00E07ACF"/>
    <w:rsid w:val="00E21CB7"/>
    <w:rsid w:val="00E331A1"/>
    <w:rsid w:val="00E33202"/>
    <w:rsid w:val="00E336A9"/>
    <w:rsid w:val="00E472B1"/>
    <w:rsid w:val="00E50624"/>
    <w:rsid w:val="00E5371D"/>
    <w:rsid w:val="00E568DF"/>
    <w:rsid w:val="00E64269"/>
    <w:rsid w:val="00E66797"/>
    <w:rsid w:val="00E82267"/>
    <w:rsid w:val="00E8457D"/>
    <w:rsid w:val="00E853CE"/>
    <w:rsid w:val="00E867B6"/>
    <w:rsid w:val="00E87F08"/>
    <w:rsid w:val="00E96062"/>
    <w:rsid w:val="00EA010F"/>
    <w:rsid w:val="00EB0DDB"/>
    <w:rsid w:val="00EC4F47"/>
    <w:rsid w:val="00ED1B63"/>
    <w:rsid w:val="00ED3C1F"/>
    <w:rsid w:val="00ED4085"/>
    <w:rsid w:val="00ED420E"/>
    <w:rsid w:val="00ED6FBE"/>
    <w:rsid w:val="00EE2F57"/>
    <w:rsid w:val="00EF4C34"/>
    <w:rsid w:val="00EF77C6"/>
    <w:rsid w:val="00F05438"/>
    <w:rsid w:val="00F1361C"/>
    <w:rsid w:val="00F14DA2"/>
    <w:rsid w:val="00F156F0"/>
    <w:rsid w:val="00F160C7"/>
    <w:rsid w:val="00F16BFB"/>
    <w:rsid w:val="00F2408F"/>
    <w:rsid w:val="00F240E9"/>
    <w:rsid w:val="00F36D8F"/>
    <w:rsid w:val="00F417B1"/>
    <w:rsid w:val="00F43D2C"/>
    <w:rsid w:val="00F45853"/>
    <w:rsid w:val="00F47601"/>
    <w:rsid w:val="00F47DB8"/>
    <w:rsid w:val="00F5723E"/>
    <w:rsid w:val="00F602DF"/>
    <w:rsid w:val="00F64A84"/>
    <w:rsid w:val="00F713F9"/>
    <w:rsid w:val="00F754A1"/>
    <w:rsid w:val="00F80F94"/>
    <w:rsid w:val="00F81FD9"/>
    <w:rsid w:val="00F841AA"/>
    <w:rsid w:val="00F84A94"/>
    <w:rsid w:val="00F87285"/>
    <w:rsid w:val="00F87E96"/>
    <w:rsid w:val="00FA23E8"/>
    <w:rsid w:val="00FD1EBB"/>
    <w:rsid w:val="00FD3CC1"/>
    <w:rsid w:val="00FD5B91"/>
    <w:rsid w:val="00FE4034"/>
    <w:rsid w:val="00FF1E02"/>
    <w:rsid w:val="00FF30B4"/>
    <w:rsid w:val="00FF5C17"/>
    <w:rsid w:val="0C313EC2"/>
    <w:rsid w:val="0D4F672F"/>
    <w:rsid w:val="10C055FF"/>
    <w:rsid w:val="14F11CFD"/>
    <w:rsid w:val="16634764"/>
    <w:rsid w:val="16BB723D"/>
    <w:rsid w:val="17B47FBD"/>
    <w:rsid w:val="17FE4AA9"/>
    <w:rsid w:val="1F163C9C"/>
    <w:rsid w:val="1FF629AD"/>
    <w:rsid w:val="23843036"/>
    <w:rsid w:val="240371BF"/>
    <w:rsid w:val="26D7297A"/>
    <w:rsid w:val="29FD04D3"/>
    <w:rsid w:val="2BE76B3D"/>
    <w:rsid w:val="319F7F4E"/>
    <w:rsid w:val="32213D5F"/>
    <w:rsid w:val="32DD1C90"/>
    <w:rsid w:val="38051532"/>
    <w:rsid w:val="3944793C"/>
    <w:rsid w:val="3A190775"/>
    <w:rsid w:val="3D8C5F4C"/>
    <w:rsid w:val="3F4E2D20"/>
    <w:rsid w:val="418903BA"/>
    <w:rsid w:val="43815FB9"/>
    <w:rsid w:val="45DE5DE8"/>
    <w:rsid w:val="4B10451A"/>
    <w:rsid w:val="4D2B6715"/>
    <w:rsid w:val="4ECE2238"/>
    <w:rsid w:val="53626CF0"/>
    <w:rsid w:val="5B1135C8"/>
    <w:rsid w:val="61814058"/>
    <w:rsid w:val="64911D90"/>
    <w:rsid w:val="683832ED"/>
    <w:rsid w:val="695267FB"/>
    <w:rsid w:val="6A096EB3"/>
    <w:rsid w:val="6C486028"/>
    <w:rsid w:val="71535B4D"/>
    <w:rsid w:val="72734D90"/>
    <w:rsid w:val="774F58D6"/>
    <w:rsid w:val="7DC11EE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1"/>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5"/>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2"/>
    <w:qFormat/>
    <w:uiPriority w:val="9"/>
    <w:rPr>
      <w:rFonts w:ascii="Times New Roman" w:hAnsi="Times New Roman"/>
      <w:b/>
      <w:bCs/>
      <w:kern w:val="44"/>
      <w:sz w:val="44"/>
      <w:szCs w:val="44"/>
    </w:rPr>
  </w:style>
  <w:style w:type="character" w:customStyle="1" w:styleId="25">
    <w:name w:val="标题 2 Char"/>
    <w:basedOn w:val="13"/>
    <w:link w:val="3"/>
    <w:qFormat/>
    <w:uiPriority w:val="9"/>
    <w:rPr>
      <w:rFonts w:asciiTheme="majorHAnsi" w:hAnsiTheme="majorHAnsi" w:eastAsiaTheme="majorEastAsia" w:cstheme="majorBidi"/>
      <w:b/>
      <w:bCs/>
      <w:kern w:val="2"/>
      <w:sz w:val="32"/>
      <w:szCs w:val="32"/>
    </w:rPr>
  </w:style>
  <w:style w:type="paragraph" w:customStyle="1" w:styleId="26">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4"/>
    <w:qFormat/>
    <w:uiPriority w:val="9"/>
    <w:rPr>
      <w:rFonts w:ascii="Times New Roman" w:hAnsi="Times New Roman"/>
      <w:b/>
      <w:bCs/>
      <w:kern w:val="2"/>
      <w:sz w:val="32"/>
      <w:szCs w:val="32"/>
    </w:rPr>
  </w:style>
  <w:style w:type="paragraph" w:customStyle="1" w:styleId="2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styleId="30">
    <w:name w:val="Placeholder Text"/>
    <w:basedOn w:val="13"/>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67769597392384"/>
          <c:y val="0.128390174138449"/>
          <c:w val="0.75855519865071"/>
          <c:h val="0.764915856106222"/>
        </c:manualLayout>
      </c:layout>
      <c:barChart>
        <c:barDir val="col"/>
        <c:grouping val="clustered"/>
        <c:varyColors val="0"/>
        <c:ser>
          <c:idx val="0"/>
          <c:order val="0"/>
          <c:tx>
            <c:strRef>
              <c:f>Sheet1!$B$1</c:f>
              <c:strCache>
                <c:ptCount val="1"/>
                <c:pt idx="0">
                  <c:v>2018年</c:v>
                </c:pt>
              </c:strCache>
            </c:strRef>
          </c:tx>
          <c:spPr>
            <a:solidFill>
              <a:schemeClr val="tx2">
                <a:lumMod val="75000"/>
              </a:schemeClr>
            </a:solidFill>
          </c:spPr>
          <c:invertIfNegative val="0"/>
          <c:dPt>
            <c:idx val="1"/>
            <c:invertIfNegative val="0"/>
            <c:bubble3D val="0"/>
            <c:spPr>
              <a:solidFill>
                <a:schemeClr val="accent2">
                  <a:lumMod val="75000"/>
                </a:schemeClr>
              </a:solidFill>
            </c:spPr>
          </c:dPt>
          <c:dLbls>
            <c:delete val="1"/>
          </c:dLbls>
          <c:cat>
            <c:strRef>
              <c:f>Sheet1!$A$2:$A$5</c:f>
              <c:strCache>
                <c:ptCount val="2"/>
                <c:pt idx="0">
                  <c:v>2018年</c:v>
                </c:pt>
                <c:pt idx="1">
                  <c:v>2019年</c:v>
                </c:pt>
              </c:strCache>
            </c:strRef>
          </c:cat>
          <c:val>
            <c:numRef>
              <c:f>Sheet1!$B$2:$B$5</c:f>
              <c:numCache>
                <c:formatCode>General</c:formatCode>
                <c:ptCount val="4"/>
                <c:pt idx="0">
                  <c:v>1000.08</c:v>
                </c:pt>
                <c:pt idx="1">
                  <c:v>1112.29</c:v>
                </c:pt>
              </c:numCache>
            </c:numRef>
          </c:val>
        </c:ser>
        <c:ser>
          <c:idx val="1"/>
          <c:order val="1"/>
          <c:tx>
            <c:strRef>
              <c:f>Sheet1!$C$1</c:f>
              <c:strCache>
                <c:ptCount val="1"/>
                <c:pt idx="0">
                  <c:v>2019年</c:v>
                </c:pt>
              </c:strCache>
            </c:strRef>
          </c:tx>
          <c:invertIfNegative val="0"/>
          <c:dLbls>
            <c:delete val="1"/>
          </c:dLbls>
          <c:cat>
            <c:strRef>
              <c:f>Sheet1!$A$2:$A$5</c:f>
              <c:strCache>
                <c:ptCount val="2"/>
                <c:pt idx="0">
                  <c:v>2018年</c:v>
                </c:pt>
                <c:pt idx="1">
                  <c:v>2019年</c:v>
                </c:pt>
              </c:strCache>
            </c:strRef>
          </c:cat>
          <c:val>
            <c:numRef>
              <c:f>Sheet1!$C$2:$C$5</c:f>
              <c:numCache>
                <c:formatCode>General</c:formatCode>
                <c:ptCount val="4"/>
              </c:numCache>
            </c:numRef>
          </c:val>
        </c:ser>
        <c:dLbls>
          <c:showLegendKey val="0"/>
          <c:showVal val="0"/>
          <c:showCatName val="0"/>
          <c:showSerName val="0"/>
          <c:showPercent val="0"/>
          <c:showBubbleSize val="0"/>
        </c:dLbls>
        <c:gapWidth val="150"/>
        <c:axId val="81289600"/>
        <c:axId val="81291136"/>
      </c:barChart>
      <c:catAx>
        <c:axId val="81289600"/>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1291136"/>
        <c:crosses val="autoZero"/>
        <c:auto val="1"/>
        <c:lblAlgn val="ctr"/>
        <c:lblOffset val="100"/>
        <c:noMultiLvlLbl val="0"/>
      </c:catAx>
      <c:valAx>
        <c:axId val="8129113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128960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图2：2019年收入决算结构图</c:v>
                </c:pt>
              </c:strCache>
            </c:strRef>
          </c:tx>
          <c:explosion val="11"/>
          <c:dPt>
            <c:idx val="0"/>
            <c:bubble3D val="0"/>
          </c:dPt>
          <c:dLbls>
            <c:delete val="1"/>
          </c:dLbls>
          <c:cat>
            <c:strRef>
              <c:f>Sheet1!$A$2</c:f>
              <c:strCache>
                <c:ptCount val="1"/>
                <c:pt idx="0">
                  <c:v>一般公共预算收入</c:v>
                </c:pt>
              </c:strCache>
            </c:strRef>
          </c:cat>
          <c:val>
            <c:numRef>
              <c:f>Sheet1!$B$2</c:f>
              <c:numCache>
                <c:formatCode>General</c:formatCode>
                <c:ptCount val="1"/>
                <c:pt idx="0">
                  <c:v>938.7</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图3：支出决算图</c:v>
                </c:pt>
              </c:strCache>
            </c:strRef>
          </c:tx>
          <c:explosion val="0"/>
          <c:dPt>
            <c:idx val="0"/>
            <c:bubble3D val="0"/>
          </c:dPt>
          <c:dPt>
            <c:idx val="1"/>
            <c:bubble3D val="0"/>
          </c:dPt>
          <c:dLbls>
            <c:delete val="1"/>
          </c:dLbls>
          <c:cat>
            <c:strRef>
              <c:f>Sheet1!$A$2:$A$3</c:f>
              <c:strCache>
                <c:ptCount val="2"/>
                <c:pt idx="0">
                  <c:v>基本支出</c:v>
                </c:pt>
                <c:pt idx="1">
                  <c:v>项目支出</c:v>
                </c:pt>
              </c:strCache>
            </c:strRef>
          </c:cat>
          <c:val>
            <c:numRef>
              <c:f>Sheet1!$B$2:$B$3</c:f>
              <c:numCache>
                <c:formatCode>0.00%</c:formatCode>
                <c:ptCount val="2"/>
                <c:pt idx="0">
                  <c:v>0.8291</c:v>
                </c:pt>
                <c:pt idx="1">
                  <c:v>0.1709</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Sheet1!$B$2</c:f>
              <c:strCache>
                <c:ptCount val="1"/>
                <c:pt idx="0">
                  <c:v>2018年</c:v>
                </c:pt>
              </c:strCache>
            </c:strRef>
          </c:tx>
          <c:invertIfNegative val="0"/>
          <c:dLbls>
            <c:delete val="1"/>
          </c:dLbls>
          <c:cat>
            <c:strRef>
              <c:f>Sheet1!$A$3:$A$4</c:f>
              <c:strCache>
                <c:ptCount val="2"/>
                <c:pt idx="0">
                  <c:v>2018年</c:v>
                </c:pt>
                <c:pt idx="1">
                  <c:v>2019年</c:v>
                </c:pt>
              </c:strCache>
            </c:strRef>
          </c:cat>
          <c:val>
            <c:numRef>
              <c:f>Sheet1!$B$3:$B$4</c:f>
              <c:numCache>
                <c:formatCode>General</c:formatCode>
                <c:ptCount val="2"/>
                <c:pt idx="0">
                  <c:v>1000.8</c:v>
                </c:pt>
              </c:numCache>
            </c:numRef>
          </c:val>
        </c:ser>
        <c:ser>
          <c:idx val="1"/>
          <c:order val="1"/>
          <c:tx>
            <c:strRef>
              <c:f>Sheet1!$C$2</c:f>
              <c:strCache>
                <c:ptCount val="1"/>
                <c:pt idx="0">
                  <c:v>2019年</c:v>
                </c:pt>
              </c:strCache>
            </c:strRef>
          </c:tx>
          <c:invertIfNegative val="0"/>
          <c:dLbls>
            <c:delete val="1"/>
          </c:dLbls>
          <c:cat>
            <c:strRef>
              <c:f>Sheet1!$A$3:$A$4</c:f>
              <c:strCache>
                <c:ptCount val="2"/>
                <c:pt idx="0">
                  <c:v>2018年</c:v>
                </c:pt>
                <c:pt idx="1">
                  <c:v>2019年</c:v>
                </c:pt>
              </c:strCache>
            </c:strRef>
          </c:cat>
          <c:val>
            <c:numRef>
              <c:f>Sheet1!$C$3:$C$4</c:f>
              <c:numCache>
                <c:formatCode>General</c:formatCode>
                <c:ptCount val="2"/>
                <c:pt idx="1">
                  <c:v>1112.29</c:v>
                </c:pt>
              </c:numCache>
            </c:numRef>
          </c:val>
        </c:ser>
        <c:dLbls>
          <c:showLegendKey val="0"/>
          <c:showVal val="0"/>
          <c:showCatName val="0"/>
          <c:showSerName val="0"/>
          <c:showPercent val="0"/>
          <c:showBubbleSize val="0"/>
        </c:dLbls>
        <c:gapWidth val="150"/>
        <c:overlap val="100"/>
        <c:axId val="83409920"/>
        <c:axId val="83419904"/>
      </c:barChart>
      <c:catAx>
        <c:axId val="83409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419904"/>
        <c:crosses val="autoZero"/>
        <c:auto val="1"/>
        <c:lblAlgn val="ctr"/>
        <c:lblOffset val="100"/>
        <c:noMultiLvlLbl val="0"/>
      </c:catAx>
      <c:valAx>
        <c:axId val="8341990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40992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3796753561145"/>
          <c:y val="0.0532694056807256"/>
          <c:w val="0.753430496121768"/>
          <c:h val="0.847475195631506"/>
        </c:manualLayout>
      </c:layout>
      <c:barChart>
        <c:barDir val="col"/>
        <c:grouping val="percentStacked"/>
        <c:varyColors val="0"/>
        <c:ser>
          <c:idx val="0"/>
          <c:order val="0"/>
          <c:tx>
            <c:strRef>
              <c:f>Sheet1!$B$1</c:f>
              <c:strCache>
                <c:ptCount val="1"/>
                <c:pt idx="0">
                  <c:v>2018年</c:v>
                </c:pt>
              </c:strCache>
            </c:strRef>
          </c:tx>
          <c:invertIfNegative val="0"/>
          <c:dLbls>
            <c:delete val="1"/>
          </c:dLbls>
          <c:cat>
            <c:strRef>
              <c:f>Sheet1!$A$2:$A$3</c:f>
              <c:strCache>
                <c:ptCount val="2"/>
                <c:pt idx="0">
                  <c:v>2018年</c:v>
                </c:pt>
                <c:pt idx="1">
                  <c:v>2019年</c:v>
                </c:pt>
              </c:strCache>
            </c:strRef>
          </c:cat>
          <c:val>
            <c:numRef>
              <c:f>Sheet1!$B$2:$B$3</c:f>
              <c:numCache>
                <c:formatCode>General</c:formatCode>
                <c:ptCount val="2"/>
                <c:pt idx="0">
                  <c:v>827.21</c:v>
                </c:pt>
              </c:numCache>
            </c:numRef>
          </c:val>
        </c:ser>
        <c:ser>
          <c:idx val="1"/>
          <c:order val="1"/>
          <c:tx>
            <c:strRef>
              <c:f>Sheet1!$C$1</c:f>
              <c:strCache>
                <c:ptCount val="1"/>
                <c:pt idx="0">
                  <c:v>2019年</c:v>
                </c:pt>
              </c:strCache>
            </c:strRef>
          </c:tx>
          <c:invertIfNegative val="0"/>
          <c:dLbls>
            <c:delete val="1"/>
          </c:dLbls>
          <c:cat>
            <c:strRef>
              <c:f>Sheet1!$A$2:$A$3</c:f>
              <c:strCache>
                <c:ptCount val="2"/>
                <c:pt idx="0">
                  <c:v>2018年</c:v>
                </c:pt>
                <c:pt idx="1">
                  <c:v>2019年</c:v>
                </c:pt>
              </c:strCache>
            </c:strRef>
          </c:cat>
          <c:val>
            <c:numRef>
              <c:f>Sheet1!$C$2:$C$3</c:f>
              <c:numCache>
                <c:formatCode>General</c:formatCode>
                <c:ptCount val="2"/>
                <c:pt idx="1">
                  <c:v>4.4</c:v>
                </c:pt>
              </c:numCache>
            </c:numRef>
          </c:val>
        </c:ser>
        <c:dLbls>
          <c:showLegendKey val="0"/>
          <c:showVal val="0"/>
          <c:showCatName val="0"/>
          <c:showSerName val="0"/>
          <c:showPercent val="0"/>
          <c:showBubbleSize val="0"/>
        </c:dLbls>
        <c:gapWidth val="150"/>
        <c:overlap val="100"/>
        <c:axId val="83481728"/>
        <c:axId val="83483264"/>
      </c:barChart>
      <c:catAx>
        <c:axId val="8348172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483264"/>
        <c:crosses val="autoZero"/>
        <c:auto val="1"/>
        <c:lblAlgn val="ctr"/>
        <c:lblOffset val="100"/>
        <c:noMultiLvlLbl val="0"/>
      </c:catAx>
      <c:valAx>
        <c:axId val="83483264"/>
        <c:scaling>
          <c:orientation val="minMax"/>
        </c:scaling>
        <c:delete val="0"/>
        <c:axPos val="l"/>
        <c:majorGridlines/>
        <c:numFmt formatCode="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3481728"/>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图6：一般公共预算财政拨款支出决算结构</c:v>
                </c:pt>
              </c:strCache>
            </c:strRef>
          </c:tx>
          <c:explosion val="0"/>
          <c:dPt>
            <c:idx val="0"/>
            <c:bubble3D val="0"/>
          </c:dPt>
          <c:dPt>
            <c:idx val="1"/>
            <c:bubble3D val="0"/>
          </c:dPt>
          <c:dPt>
            <c:idx val="2"/>
            <c:bubble3D val="0"/>
          </c:dPt>
          <c:dPt>
            <c:idx val="3"/>
            <c:bubble3D val="0"/>
          </c:dPt>
          <c:dPt>
            <c:idx val="4"/>
            <c:bubble3D val="0"/>
          </c:dPt>
          <c:dLbls>
            <c:delete val="1"/>
          </c:dLbls>
          <c:cat>
            <c:strRef>
              <c:f>Sheet1!$A$2:$A$6</c:f>
              <c:strCache>
                <c:ptCount val="5"/>
                <c:pt idx="0">
                  <c:v>一般公共服务（类）</c:v>
                </c:pt>
                <c:pt idx="1">
                  <c:v>公共安全支出</c:v>
                </c:pt>
                <c:pt idx="2">
                  <c:v>社会保障和就业（类）</c:v>
                </c:pt>
                <c:pt idx="3">
                  <c:v>卫生健康支出</c:v>
                </c:pt>
                <c:pt idx="4">
                  <c:v>住房保障支出</c:v>
                </c:pt>
              </c:strCache>
            </c:strRef>
          </c:cat>
          <c:val>
            <c:numRef>
              <c:f>Sheet1!$B$2:$B$6</c:f>
              <c:numCache>
                <c:formatCode>General</c:formatCode>
                <c:ptCount val="5"/>
                <c:pt idx="0">
                  <c:v>14.06</c:v>
                </c:pt>
                <c:pt idx="1">
                  <c:v>70.77</c:v>
                </c:pt>
                <c:pt idx="2">
                  <c:v>6.58</c:v>
                </c:pt>
                <c:pt idx="3">
                  <c:v>2.84</c:v>
                </c:pt>
                <c:pt idx="4">
                  <c:v>5.75</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图7：“三公”经费财政拨款支出结构</c:v>
                </c:pt>
              </c:strCache>
            </c:strRef>
          </c:tx>
          <c:explosion val="0"/>
          <c:dPt>
            <c:idx val="0"/>
            <c:bubble3D val="0"/>
          </c:dPt>
          <c:dPt>
            <c:idx val="1"/>
            <c:bubble3D val="0"/>
          </c:dPt>
          <c:dPt>
            <c:idx val="2"/>
            <c:bubble3D val="0"/>
          </c:dPt>
          <c:dLbls>
            <c:delete val="1"/>
          </c:dLbls>
          <c:cat>
            <c:strRef>
              <c:f>Sheet1!$A$2:$A$4</c:f>
              <c:strCache>
                <c:ptCount val="3"/>
                <c:pt idx="0">
                  <c:v>因公出国（境）</c:v>
                </c:pt>
                <c:pt idx="1">
                  <c:v>公务用车购置及运行维护费</c:v>
                </c:pt>
                <c:pt idx="2">
                  <c:v>公务接待</c:v>
                </c:pt>
              </c:strCache>
            </c:strRef>
          </c:cat>
          <c:val>
            <c:numRef>
              <c:f>Sheet1!$B$2:$B$4</c:f>
              <c:numCache>
                <c:formatCode>General</c:formatCode>
                <c:ptCount val="3"/>
                <c:pt idx="0">
                  <c:v>0</c:v>
                </c:pt>
                <c:pt idx="1">
                  <c:v>79.28</c:v>
                </c:pt>
                <c:pt idx="2">
                  <c:v>20.72</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F18BC-481E-441C-999D-DE7F0AC130A8}">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33</Pages>
  <Words>9980</Words>
  <Characters>2613</Characters>
  <Lines>21</Lines>
  <Paragraphs>25</Paragraphs>
  <TotalTime>1394</TotalTime>
  <ScaleCrop>false</ScaleCrop>
  <LinksUpToDate>false</LinksUpToDate>
  <CharactersWithSpaces>12568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Administrator</cp:lastModifiedBy>
  <cp:lastPrinted>2020-07-23T02:58:00Z</cp:lastPrinted>
  <dcterms:modified xsi:type="dcterms:W3CDTF">2020-09-29T08:25:42Z</dcterms:modified>
  <dc:title>四川省***</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