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sz w:val="24"/>
          <w:szCs w:val="24"/>
        </w:rPr>
      </w:pPr>
      <w:r>
        <w:rPr>
          <w:b/>
          <w:i w:val="0"/>
          <w:caps w:val="0"/>
          <w:color w:val="1A2930"/>
          <w:spacing w:val="0"/>
          <w:sz w:val="24"/>
          <w:szCs w:val="24"/>
          <w:bdr w:val="none" w:color="auto" w:sz="0" w:space="0"/>
          <w:shd w:val="clear" w:fill="FFFFFF"/>
        </w:rPr>
        <w:t>最高人民法院、最高人民检察院、公安部关于刑事案件涉扶贫领域财物依法快速返还的若干规定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1A2930"/>
          <w:spacing w:val="0"/>
          <w:sz w:val="21"/>
          <w:szCs w:val="21"/>
        </w:rPr>
      </w:pP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instrText xml:space="preserve"> HYPERLINK "http://www.law-lib.com/law/lawml.asp?bbdw=%D7%EE%B8%DF%C8%CB%C3%F1%B7%A8%D4%BA %D7%EE%B8%DF%C8%CB%C3%F1%BC%EC%B2%EC%D4%BA %B9%AB%B0%B2%B2%BF" </w:instrText>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1A2930"/>
          <w:spacing w:val="0"/>
          <w:sz w:val="21"/>
          <w:szCs w:val="21"/>
          <w:u w:val="none"/>
          <w:bdr w:val="none" w:color="auto" w:sz="0" w:space="0"/>
          <w:shd w:val="clear" w:fill="FFFFFF"/>
        </w:rPr>
        <w:t>最高人民法院 最高人民检察院 公安部</w:t>
      </w:r>
      <w:r>
        <w:rPr>
          <w:rFonts w:hint="eastAsia" w:ascii="微软雅黑" w:hAnsi="微软雅黑" w:eastAsia="微软雅黑" w:cs="微软雅黑"/>
          <w:b w:val="0"/>
          <w:i w:val="0"/>
          <w:caps w:val="0"/>
          <w:color w:val="1A2930"/>
          <w:spacing w:val="0"/>
          <w:sz w:val="21"/>
          <w:szCs w:val="21"/>
          <w:u w:val="none"/>
          <w:bdr w:val="none" w:color="auto" w:sz="0" w:space="0"/>
          <w:shd w:val="clear" w:fill="FFFFFF"/>
        </w:rPr>
        <w:fldChar w:fldCharType="end"/>
      </w:r>
    </w:p>
    <w:p>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bookmarkStart w:id="0" w:name="_GoBack"/>
      <w:r>
        <w:rPr>
          <w:rFonts w:hint="eastAsia" w:ascii="微软雅黑" w:hAnsi="微软雅黑" w:eastAsia="微软雅黑" w:cs="微软雅黑"/>
          <w:b w:val="0"/>
          <w:i w:val="0"/>
          <w:caps w:val="0"/>
          <w:color w:val="1A2930"/>
          <w:spacing w:val="0"/>
          <w:sz w:val="21"/>
          <w:szCs w:val="21"/>
          <w:shd w:val="clear" w:fill="FFFFFF"/>
        </w:rPr>
        <w:t>最高人民法院 最高人民检察院 公安部关于印发《关于刑事案件涉扶贫领域财物依法快速返还的若干规定》</w:t>
      </w:r>
      <w:bookmarkEnd w:id="0"/>
      <w:r>
        <w:rPr>
          <w:rFonts w:hint="eastAsia" w:ascii="微软雅黑" w:hAnsi="微软雅黑" w:eastAsia="微软雅黑" w:cs="微软雅黑"/>
          <w:b w:val="0"/>
          <w:i w:val="0"/>
          <w:caps w:val="0"/>
          <w:color w:val="1A2930"/>
          <w:spacing w:val="0"/>
          <w:sz w:val="21"/>
          <w:szCs w:val="21"/>
          <w:shd w:val="clear" w:fill="FFFFFF"/>
        </w:rPr>
        <w:t>的通知</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高检发〔2020〕12号</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各省、自治区、直辖市高级人民法院、人民检察院、公安厅（局），解放军军事法院、军事检察院，新疆维吾尔自治区高级人民法院生产建设兵团分院，新疆生产建设兵团人民检察院、公安局：</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为服务巩固脱贫攻坚战战果，推进开展并有效规范刑事案件涉扶贫领域财物依法快速返还工作，最高人民法院、最高人民检察院、公安部联合制定了《关于刑事案件涉扶贫领域财物依法快速返还的若干规定》，现予以印发，请结合实际认真贯彻执行。在贯彻执行中遇到的新情况、新问题，请及时分别报告最高人民法院、最高人民检察院、公安部。</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最高人民法院 最高人民检察院 公安部</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2020年7月24日</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最高人民法院最高人民检察院公安部关于刑事案件涉扶贫领域财物依法快速返还的若干规定</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第一条 为规范扶贫领域涉案财物快速返还工作，提高扶贫资金使用效能，促进国家惠民利民政策落实，根据《中华人民共和国刑法》《中华人民共和国刑事诉讼法》等法律和有关规定，制定本规定。</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第二条 本规定所称涉案财物，是指办案机关办理有关刑事案件过程中，查封、扣押、冻结的与扶贫有关的财物及孳息，以及由上述财物转化而来的财产。</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第三条 对于同时符合下列条件的涉案财物，应当依法快速返还有关个人、单位或组织：</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（一）犯罪事实清楚，证据确实充分；</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（二）涉案财物权属关系已经查明；</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（三）有明确的权益被侵害的个人、单位或组织；</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（四）返还涉案财物不损害其他被害人或者利害关系人的利益；</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（五）不影响诉讼正常进行或者案件公正处理；</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（六）犯罪嫌疑人、被告人以及利害关系人对涉案财物快速返还没有异议。</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第四条 人民法院、人民检察院、公安机关办理有关扶贫领域刑事案件，应当依法积极追缴涉案财物，对于本办案环节具备快速返还条件的，应当及时快速返还。</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第五条 人民法院、人民检察院、公安机关对追缴到案的涉案财物，应当及时调查、审查权属关系。</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对于权属关系未查明的，人民法院可以通知人民检察院，由人民检察院通知前一办案环节补充查证，或者由人民检察院自行补充侦查。</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第六条 公安机关办理涉扶贫领域财物刑事案件期间，可以就涉案财物处理等问题听取人民检察院意见，人民检察院应当提出相关意见。</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第七条 人民法院、人民检察院、公安机关认为涉案财物符合快速返还条件的，应当在作出返还决定五个工作日内返还有关个人、单位或组织。</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办案机关返还涉案财物时，应当制作返还财物清单，注明返还理由，由接受个人、单位或组织在返还财物清单上签名或者盖章，并将清单、照片附卷。</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第八条 公安机关、人民检察院在侦查阶段、审查起诉阶段返还涉案财物的，在案件移送人民检察院、人民法院时，应当将返还财物清单随案移送，说明返还的理由并附相关证据材料。</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未快速返还而随案移送的涉案财物，移送机关应当列明权属情况、提出处理建议并附相关证据材料。</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第九条 对涉案财物中易损毁、灭失、变质等不宜长期保存的物品，易贬值的汽车等物品，市场价格波动大的债券、股票、基金份额等财产，有效期即将届满的汇票、本票、支票等，经权利人同意或者申请，并经人民法院、人民检察院、公安机关主要负责人批准，可以及时依法出售、变现或者先行变卖、拍卖。所得款项依照本规定快速返还，或者按照有关规定处理。</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第十条 人民法院、人民检察院应当跟踪了解有关单位和村（居）民委员会等组织对返还涉案财物管理发放情况，跟进开展普法宣传教育，对于管理环节存在漏洞的，要及时提出司法建议、检察建议，确保扶贫款物依法正确使用。</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第十一条 发现快速返还存在错误的，应当由决定快速返还的机关及时纠正，依法追回返还财物；侵犯财产权的，依据《中华人民共和国国家赔偿法》第十八条及有关规定处理。</w:t>
      </w:r>
      <w:r>
        <w:rPr>
          <w:rFonts w:hint="eastAsia" w:ascii="微软雅黑" w:hAnsi="微软雅黑" w:eastAsia="微软雅黑" w:cs="微软雅黑"/>
          <w:b w:val="0"/>
          <w:i w:val="0"/>
          <w:caps w:val="0"/>
          <w:color w:val="1A2930"/>
          <w:spacing w:val="0"/>
          <w:sz w:val="21"/>
          <w:szCs w:val="21"/>
          <w:bdr w:val="none" w:color="auto" w:sz="0" w:space="0"/>
          <w:shd w:val="clear" w:fill="FFFFFF"/>
        </w:rPr>
        <w:br w:type="textWrapping"/>
      </w:r>
      <w:r>
        <w:rPr>
          <w:rFonts w:hint="eastAsia" w:ascii="微软雅黑" w:hAnsi="微软雅黑" w:eastAsia="微软雅黑" w:cs="微软雅黑"/>
          <w:b w:val="0"/>
          <w:i w:val="0"/>
          <w:caps w:val="0"/>
          <w:color w:val="1A2930"/>
          <w:spacing w:val="0"/>
          <w:sz w:val="21"/>
          <w:szCs w:val="21"/>
          <w:shd w:val="clear" w:fill="FFFFFF"/>
        </w:rPr>
        <w:t>　　第十二条 本规定自印发之日起施行。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571CF"/>
    <w:rsid w:val="23A5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2020-11-16T01:05:00Z</dcterms:created>
  <dc:creator>FYC</dc:creator>
  <cp:lastModifiedBy>FYC</cp:lastModifiedBy>
  <dcterms:modified xsi:type="dcterms:W3CDTF">2020-11-16T01:06:24Z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